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E15A6">
      <w:pPr>
        <w:keepNext w:val="0"/>
        <w:keepLines w:val="0"/>
        <w:pageBreakBefore w:val="0"/>
        <w:kinsoku/>
        <w:wordWrap/>
        <w:overflowPunct/>
        <w:topLinePunct w:val="0"/>
        <w:autoSpaceDE/>
        <w:autoSpaceDN/>
        <w:bidi w:val="0"/>
        <w:adjustRightInd/>
        <w:spacing w:line="594" w:lineRule="exact"/>
        <w:jc w:val="center"/>
        <w:rPr>
          <w:rFonts w:ascii="方正小标宋_GBK" w:hAnsi="方正仿宋_GBK" w:eastAsia="方正小标宋_GBK" w:cs="方正仿宋_GBK"/>
          <w:color w:val="auto"/>
          <w:sz w:val="44"/>
          <w:szCs w:val="44"/>
          <w:highlight w:val="none"/>
        </w:rPr>
      </w:pPr>
      <w:r>
        <w:rPr>
          <w:rFonts w:hint="eastAsia" w:ascii="方正小标宋_GBK" w:hAnsi="方正小标宋_GBK" w:eastAsia="方正小标宋_GBK" w:cs="方正小标宋_GBK"/>
          <w:sz w:val="44"/>
          <w:szCs w:val="52"/>
        </w:rPr>
        <w:t>PET-CT及防辐射安装服务项目采购方案</w:t>
      </w:r>
    </w:p>
    <w:p w14:paraId="7F9258FE">
      <w:pPr>
        <w:keepNext w:val="0"/>
        <w:keepLines w:val="0"/>
        <w:pageBreakBefore w:val="0"/>
        <w:kinsoku/>
        <w:wordWrap/>
        <w:overflowPunct/>
        <w:topLinePunct w:val="0"/>
        <w:autoSpaceDE/>
        <w:autoSpaceDN/>
        <w:bidi w:val="0"/>
        <w:adjustRightInd/>
        <w:spacing w:line="594" w:lineRule="exact"/>
        <w:jc w:val="center"/>
        <w:rPr>
          <w:rFonts w:ascii="方正小标宋_GBK" w:hAnsi="方正仿宋_GBK" w:eastAsia="方正小标宋_GBK" w:cs="方正仿宋_GBK"/>
          <w:b/>
          <w:bCs/>
          <w:color w:val="auto"/>
          <w:sz w:val="44"/>
          <w:szCs w:val="44"/>
          <w:highlight w:val="none"/>
        </w:rPr>
      </w:pPr>
    </w:p>
    <w:p w14:paraId="6C354C09">
      <w:pPr>
        <w:keepNext w:val="0"/>
        <w:keepLines w:val="0"/>
        <w:pageBreakBefore w:val="0"/>
        <w:numPr>
          <w:ilvl w:val="0"/>
          <w:numId w:val="1"/>
        </w:numPr>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主要用途</w:t>
      </w:r>
    </w:p>
    <w:p w14:paraId="7063ADB0">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设备用于全身各脏器的功能代谢显像，尤其是肿瘤、心脑疾病的精准诊断及研究。</w:t>
      </w:r>
    </w:p>
    <w:p w14:paraId="4FD83F2F">
      <w:pPr>
        <w:keepNext w:val="0"/>
        <w:keepLines w:val="0"/>
        <w:pageBreakBefore w:val="0"/>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二、注册证要求</w:t>
      </w:r>
    </w:p>
    <w:p w14:paraId="3F79C316">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各厂家提供设备的NMPA首次注册时间必须在2020年及以后。</w:t>
      </w:r>
    </w:p>
    <w:p w14:paraId="64B62ABE">
      <w:pPr>
        <w:keepNext w:val="0"/>
        <w:keepLines w:val="0"/>
        <w:pageBreakBefore w:val="0"/>
        <w:kinsoku/>
        <w:wordWrap/>
        <w:overflowPunct/>
        <w:topLinePunct w:val="0"/>
        <w:autoSpaceDE/>
        <w:autoSpaceDN/>
        <w:bidi w:val="0"/>
        <w:adjustRightInd/>
        <w:spacing w:line="594" w:lineRule="exact"/>
        <w:ind w:left="420" w:leftChars="200" w:firstLine="320" w:firstLineChars="1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三、产品性能</w:t>
      </w:r>
    </w:p>
    <w:p w14:paraId="367F564E">
      <w:pPr>
        <w:keepNext w:val="0"/>
        <w:keepLines w:val="0"/>
        <w:pageBreakBefore w:val="0"/>
        <w:kinsoku/>
        <w:wordWrap/>
        <w:overflowPunct/>
        <w:topLinePunct w:val="0"/>
        <w:autoSpaceDE/>
        <w:autoSpaceDN/>
        <w:bidi w:val="0"/>
        <w:adjustRightInd/>
        <w:spacing w:line="594" w:lineRule="exact"/>
        <w:ind w:left="420" w:leftChars="200" w:firstLine="320" w:firstLineChars="1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要求所投产品配置应满足医院所有诊疗活动需求，为保证设</w:t>
      </w:r>
    </w:p>
    <w:p w14:paraId="087CD83A">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备的先进性，投标人所投设备的性能、参数不低于GE Discovery Future、西门子Biograph Vision450（带FlowMotion技术平台）、联影uMI Panorama 35S其中之一产品的技术参数和性能。</w:t>
      </w:r>
    </w:p>
    <w:p w14:paraId="70DDABE8">
      <w:pPr>
        <w:keepNext w:val="0"/>
        <w:keepLines w:val="0"/>
        <w:pageBreakBefore w:val="0"/>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四、基本结构（参数需求）</w:t>
      </w:r>
    </w:p>
    <w:p w14:paraId="197FB364">
      <w:pPr>
        <w:keepNext w:val="0"/>
        <w:keepLines w:val="0"/>
        <w:pageBreakBefore w:val="0"/>
        <w:numPr>
          <w:ilvl w:val="0"/>
          <w:numId w:val="2"/>
        </w:numPr>
        <w:kinsoku/>
        <w:wordWrap/>
        <w:overflowPunct/>
        <w:topLinePunct w:val="0"/>
        <w:autoSpaceDE/>
        <w:autoSpaceDN/>
        <w:bidi w:val="0"/>
        <w:adjustRightInd/>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PET</w:t>
      </w:r>
    </w:p>
    <w:p w14:paraId="230A662F">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 环数（环）：≥60环或大4环</w:t>
      </w:r>
    </w:p>
    <w:p w14:paraId="463F574F">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 探测器</w:t>
      </w:r>
      <w:r>
        <w:rPr>
          <w:rFonts w:hint="eastAsia" w:ascii="方正仿宋_GBK" w:hAnsi="方正仿宋_GBK" w:eastAsia="方正仿宋_GBK" w:cs="方正仿宋_GBK"/>
          <w:color w:val="auto"/>
          <w:sz w:val="32"/>
          <w:szCs w:val="32"/>
          <w:highlight w:val="none"/>
        </w:rPr>
        <w:tab/>
      </w:r>
    </w:p>
    <w:p w14:paraId="5DFCEAE8">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2.1 晶体</w:t>
      </w:r>
      <w:r>
        <w:rPr>
          <w:rFonts w:hint="eastAsia" w:ascii="方正仿宋_GBK" w:hAnsi="方正仿宋_GBK" w:eastAsia="方正仿宋_GBK" w:cs="方正仿宋_GBK"/>
          <w:color w:val="auto"/>
          <w:sz w:val="32"/>
          <w:szCs w:val="32"/>
          <w:highlight w:val="none"/>
        </w:rPr>
        <w:tab/>
      </w:r>
    </w:p>
    <w:p w14:paraId="6D34950E">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2.1.1 材料：LBS或LYSO或LSO</w:t>
      </w:r>
    </w:p>
    <w:p w14:paraId="46DD7E44">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2.1.2 厚度（mm）：≥18.1 </w:t>
      </w:r>
    </w:p>
    <w:p w14:paraId="05990F3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1.1.3 提供SiPM数字化PET探测器</w:t>
      </w:r>
    </w:p>
    <w:p w14:paraId="04788A69">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1.1.4 衰减校正方式：CT衰减校正</w:t>
      </w:r>
    </w:p>
    <w:p w14:paraId="698FEF7F">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1.1.5 TOF技术（含软、硬件）：提供</w:t>
      </w:r>
    </w:p>
    <w:p w14:paraId="4B72E5E1">
      <w:pPr>
        <w:keepNext w:val="0"/>
        <w:keepLines w:val="0"/>
        <w:pageBreakBefore w:val="0"/>
        <w:kinsoku/>
        <w:wordWrap/>
        <w:overflowPunct/>
        <w:topLinePunct w:val="0"/>
        <w:autoSpaceDE/>
        <w:autoSpaceDN/>
        <w:bidi w:val="0"/>
        <w:adjustRightInd/>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（二）CT</w:t>
      </w:r>
    </w:p>
    <w:p w14:paraId="5B18DA0D">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 探测器</w:t>
      </w:r>
      <w:r>
        <w:rPr>
          <w:rFonts w:hint="eastAsia" w:ascii="方正仿宋_GBK" w:hAnsi="方正仿宋_GBK" w:eastAsia="方正仿宋_GBK" w:cs="方正仿宋_GBK"/>
          <w:b/>
          <w:bCs/>
          <w:color w:val="auto"/>
          <w:sz w:val="32"/>
          <w:szCs w:val="32"/>
          <w:highlight w:val="none"/>
        </w:rPr>
        <w:tab/>
      </w:r>
    </w:p>
    <w:p w14:paraId="76EDE775">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1.1探测器排数/采集层数：≥32排或64层</w:t>
      </w:r>
    </w:p>
    <w:p w14:paraId="26E5D53B">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1.2探测器单元数（个）：≥54000或每排探测器通道个数：≥1450</w:t>
      </w:r>
    </w:p>
    <w:p w14:paraId="2B695FF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1.3探测器材质：固态稀土陶瓷或高速稀土陶瓷或Lumex</w:t>
      </w:r>
    </w:p>
    <w:p w14:paraId="67AAAD65">
      <w:pPr>
        <w:keepNext w:val="0"/>
        <w:keepLines w:val="0"/>
        <w:pageBreakBefore w:val="0"/>
        <w:numPr>
          <w:ilvl w:val="0"/>
          <w:numId w:val="3"/>
        </w:numPr>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球管</w:t>
      </w:r>
    </w:p>
    <w:p w14:paraId="04D0EE73">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2.1阳极散热率（KHU/min）：≥1000</w:t>
      </w:r>
    </w:p>
    <w:p w14:paraId="57242C97">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2.2阳极最大热容量（MHU）（含等效）：≥7</w:t>
      </w:r>
    </w:p>
    <w:p w14:paraId="180802C5">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2.3小焦点尺寸（mm）：≤0.7×0.7</w:t>
      </w:r>
    </w:p>
    <w:p w14:paraId="45FE255E">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2.4大焦点尺寸（mm）：≤1.0×1.0</w:t>
      </w:r>
    </w:p>
    <w:p w14:paraId="5A27582D">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2.5冷却方式：油冷或水冷或风冷</w:t>
      </w:r>
    </w:p>
    <w:p w14:paraId="02A0B33C">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3. 高压系统</w:t>
      </w:r>
      <w:r>
        <w:rPr>
          <w:rFonts w:hint="eastAsia" w:ascii="方正仿宋_GBK" w:hAnsi="方正仿宋_GBK" w:eastAsia="方正仿宋_GBK" w:cs="方正仿宋_GBK"/>
          <w:b/>
          <w:bCs/>
          <w:color w:val="auto"/>
          <w:sz w:val="32"/>
          <w:szCs w:val="32"/>
          <w:highlight w:val="none"/>
        </w:rPr>
        <w:tab/>
      </w:r>
    </w:p>
    <w:p w14:paraId="014B4043">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3.1高压发生器功率（kW)：≥70</w:t>
      </w:r>
    </w:p>
    <w:p w14:paraId="4AD4C40A">
      <w:pPr>
        <w:keepNext w:val="0"/>
        <w:keepLines w:val="0"/>
        <w:pageBreakBefore w:val="0"/>
        <w:kinsoku/>
        <w:wordWrap/>
        <w:overflowPunct/>
        <w:topLinePunct w:val="0"/>
        <w:autoSpaceDE/>
        <w:autoSpaceDN/>
        <w:bidi w:val="0"/>
        <w:adjustRightInd/>
        <w:spacing w:line="594" w:lineRule="exact"/>
        <w:ind w:left="420" w:leftChars="200" w:firstLine="218" w:firstLineChars="68"/>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4.机架</w:t>
      </w:r>
      <w:r>
        <w:rPr>
          <w:rFonts w:hint="eastAsia" w:ascii="方正仿宋_GBK" w:hAnsi="方正仿宋_GBK" w:eastAsia="方正仿宋_GBK" w:cs="方正仿宋_GBK"/>
          <w:b/>
          <w:bCs/>
          <w:color w:val="auto"/>
          <w:sz w:val="32"/>
          <w:szCs w:val="32"/>
          <w:highlight w:val="none"/>
        </w:rPr>
        <w:tab/>
      </w:r>
    </w:p>
    <w:p w14:paraId="1B6E8D59">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4.1 机架结构：一体式机架；</w:t>
      </w:r>
    </w:p>
    <w:p w14:paraId="29908763">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4.2 提供内置激光定位系统；</w:t>
      </w:r>
    </w:p>
    <w:p w14:paraId="19F7F61F">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4.3 提供交互式应答系统；</w:t>
      </w:r>
    </w:p>
    <w:p w14:paraId="5CDA5BDE">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4.4 机架孔径（cm）：≥70</w:t>
      </w:r>
    </w:p>
    <w:p w14:paraId="5629E0E2">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4.5 提供开放门控接口；</w:t>
      </w:r>
    </w:p>
    <w:p w14:paraId="14DEA699">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5. 扫描床</w:t>
      </w:r>
      <w:r>
        <w:rPr>
          <w:rFonts w:hint="eastAsia" w:ascii="方正仿宋_GBK" w:hAnsi="方正仿宋_GBK" w:eastAsia="方正仿宋_GBK" w:cs="方正仿宋_GBK"/>
          <w:b/>
          <w:bCs/>
          <w:color w:val="auto"/>
          <w:sz w:val="32"/>
          <w:szCs w:val="32"/>
          <w:highlight w:val="none"/>
        </w:rPr>
        <w:tab/>
      </w:r>
    </w:p>
    <w:p w14:paraId="6B295308">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5.1 最大水平移动范围（cm）：≥198</w:t>
      </w:r>
    </w:p>
    <w:p w14:paraId="3A512B86">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5.2 承重量（kg）：≥220</w:t>
      </w:r>
    </w:p>
    <w:p w14:paraId="51E48F9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5.3 提供病人安全保护装置。</w:t>
      </w:r>
    </w:p>
    <w:p w14:paraId="582FBFB1">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6. 计算机系统</w:t>
      </w:r>
    </w:p>
    <w:p w14:paraId="545B8AA5">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6.1 采集和处理工作站：各提供1套</w:t>
      </w:r>
    </w:p>
    <w:p w14:paraId="3BA9ED0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6.2 采集工作站硬件配置</w:t>
      </w:r>
    </w:p>
    <w:p w14:paraId="1167C39E">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6.3工作站内存（GB）：≥16</w:t>
      </w:r>
    </w:p>
    <w:p w14:paraId="6FC9131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6.4 硬盘容量（TB）：≥1</w:t>
      </w:r>
    </w:p>
    <w:p w14:paraId="13CB17C9">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6.5 提供DICOM3.0接口协议，与HIS无故障双向连接，并承担接口费用。</w:t>
      </w:r>
    </w:p>
    <w:p w14:paraId="6B7A34C5">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6.6医学影像专用显示器（LCD）：≥19</w:t>
      </w:r>
    </w:p>
    <w:p w14:paraId="36600537">
      <w:pPr>
        <w:keepNext w:val="0"/>
        <w:keepLines w:val="0"/>
        <w:pageBreakBefore w:val="0"/>
        <w:numPr>
          <w:ilvl w:val="0"/>
          <w:numId w:val="4"/>
        </w:numPr>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处理工作站硬件配置</w:t>
      </w:r>
      <w:r>
        <w:rPr>
          <w:rFonts w:hint="eastAsia" w:ascii="方正仿宋_GBK" w:hAnsi="方正仿宋_GBK" w:eastAsia="方正仿宋_GBK" w:cs="方正仿宋_GBK"/>
          <w:b/>
          <w:bCs/>
          <w:color w:val="auto"/>
          <w:sz w:val="32"/>
          <w:szCs w:val="32"/>
          <w:highlight w:val="none"/>
        </w:rPr>
        <w:tab/>
      </w:r>
    </w:p>
    <w:p w14:paraId="42BBF471">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7.1 内存（GB）：≥16</w:t>
      </w:r>
    </w:p>
    <w:p w14:paraId="629323E8">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7.2 硬盘容量（TB）：≥1</w:t>
      </w:r>
    </w:p>
    <w:p w14:paraId="43F34A4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7.3 提供DICOM3.0接口协议，与HIS、PACS等信息接口无故障双向连接，并承担接口费用。</w:t>
      </w:r>
    </w:p>
    <w:p w14:paraId="53039D75">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7.4 医学影像专用显示器（LCD）：≥19吋。</w:t>
      </w:r>
    </w:p>
    <w:p w14:paraId="74E5633C">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8. 辅助设备</w:t>
      </w:r>
      <w:r>
        <w:rPr>
          <w:rFonts w:hint="eastAsia" w:ascii="方正仿宋_GBK" w:hAnsi="方正仿宋_GBK" w:eastAsia="方正仿宋_GBK" w:cs="方正仿宋_GBK"/>
          <w:b/>
          <w:bCs/>
          <w:color w:val="auto"/>
          <w:sz w:val="32"/>
          <w:szCs w:val="32"/>
          <w:highlight w:val="none"/>
        </w:rPr>
        <w:tab/>
      </w:r>
    </w:p>
    <w:p w14:paraId="54FBDF5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8.1 头托：提供</w:t>
      </w:r>
    </w:p>
    <w:p w14:paraId="5A061384">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8.2 质控模型</w:t>
      </w:r>
      <w:r>
        <w:rPr>
          <w:rFonts w:hint="eastAsia" w:ascii="方正仿宋_GBK" w:hAnsi="方正仿宋_GBK" w:eastAsia="方正仿宋_GBK" w:cs="方正仿宋_GBK"/>
          <w:color w:val="auto"/>
          <w:sz w:val="32"/>
          <w:szCs w:val="32"/>
          <w:highlight w:val="none"/>
        </w:rPr>
        <w:tab/>
      </w:r>
    </w:p>
    <w:p w14:paraId="4FDFF203">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8.2.1PET质控模型：提供</w:t>
      </w:r>
    </w:p>
    <w:p w14:paraId="6BC09B17">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8.2.2 CT质控模型：提供</w:t>
      </w:r>
    </w:p>
    <w:p w14:paraId="647A7A06">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8.2.3 PET/CT融合质控模型：提供</w:t>
      </w:r>
    </w:p>
    <w:p w14:paraId="1B24D6D9">
      <w:pPr>
        <w:keepNext w:val="0"/>
        <w:keepLines w:val="0"/>
        <w:pageBreakBefore w:val="0"/>
        <w:kinsoku/>
        <w:wordWrap/>
        <w:overflowPunct/>
        <w:topLinePunct w:val="0"/>
        <w:autoSpaceDE/>
        <w:autoSpaceDN/>
        <w:bidi w:val="0"/>
        <w:adjustRightInd/>
        <w:spacing w:line="594" w:lineRule="exact"/>
        <w:ind w:firstLine="643"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b/>
          <w:bCs/>
          <w:color w:val="auto"/>
          <w:sz w:val="32"/>
          <w:szCs w:val="32"/>
          <w:highlight w:val="none"/>
        </w:rPr>
        <w:t>五、性能指标</w:t>
      </w:r>
      <w:r>
        <w:rPr>
          <w:rFonts w:hint="eastAsia" w:ascii="方正黑体_GBK" w:hAnsi="方正黑体_GBK" w:eastAsia="方正黑体_GBK" w:cs="方正黑体_GBK"/>
          <w:color w:val="auto"/>
          <w:sz w:val="32"/>
          <w:szCs w:val="32"/>
          <w:highlight w:val="none"/>
        </w:rPr>
        <w:t>（参数需求）</w:t>
      </w:r>
      <w:r>
        <w:rPr>
          <w:rFonts w:hint="eastAsia" w:ascii="方正黑体_GBK" w:hAnsi="方正黑体_GBK" w:eastAsia="方正黑体_GBK" w:cs="方正黑体_GBK"/>
          <w:color w:val="auto"/>
          <w:sz w:val="32"/>
          <w:szCs w:val="32"/>
          <w:highlight w:val="none"/>
        </w:rPr>
        <w:tab/>
      </w:r>
    </w:p>
    <w:p w14:paraId="681CE573">
      <w:pPr>
        <w:keepNext w:val="0"/>
        <w:keepLines w:val="0"/>
        <w:pageBreakBefore w:val="0"/>
        <w:kinsoku/>
        <w:wordWrap/>
        <w:overflowPunct/>
        <w:topLinePunct w:val="0"/>
        <w:autoSpaceDE/>
        <w:autoSpaceDN/>
        <w:bidi w:val="0"/>
        <w:adjustRightInd/>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1. PET</w:t>
      </w:r>
      <w:r>
        <w:rPr>
          <w:rFonts w:hint="eastAsia" w:ascii="方正楷体_GBK" w:hAnsi="方正楷体_GBK" w:eastAsia="方正楷体_GBK" w:cs="方正楷体_GBK"/>
          <w:color w:val="auto"/>
          <w:sz w:val="32"/>
          <w:szCs w:val="32"/>
          <w:highlight w:val="none"/>
        </w:rPr>
        <w:tab/>
      </w:r>
    </w:p>
    <w:p w14:paraId="5061B056">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1.1 扫描参数</w:t>
      </w:r>
      <w:r>
        <w:rPr>
          <w:rFonts w:hint="eastAsia" w:ascii="方正仿宋_GBK" w:hAnsi="方正仿宋_GBK" w:eastAsia="方正仿宋_GBK" w:cs="方正仿宋_GBK"/>
          <w:b/>
          <w:bCs/>
          <w:color w:val="auto"/>
          <w:sz w:val="32"/>
          <w:szCs w:val="32"/>
          <w:highlight w:val="none"/>
        </w:rPr>
        <w:tab/>
      </w:r>
    </w:p>
    <w:p w14:paraId="5AC20D79">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1.1.1 轴向扫描视野（AFOV）（cm）：≥20</w:t>
      </w:r>
    </w:p>
    <w:p w14:paraId="3BD8325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1.1.2 横向扫描视野（FOV）（cm）：≥70</w:t>
      </w:r>
    </w:p>
    <w:p w14:paraId="56A2DB70">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1.1.3 最大PET重建矩阵：≥512 x 512</w:t>
      </w:r>
    </w:p>
    <w:p w14:paraId="09C9B0CB">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1.1.4 一次全身最大扫描范围（cm）：≥170</w:t>
      </w:r>
    </w:p>
    <w:p w14:paraId="6E6556BD">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1.2性能参数</w:t>
      </w:r>
      <w:r>
        <w:rPr>
          <w:rFonts w:hint="eastAsia" w:ascii="方正仿宋_GBK" w:hAnsi="方正仿宋_GBK" w:eastAsia="方正仿宋_GBK" w:cs="方正仿宋_GBK"/>
          <w:b/>
          <w:bCs/>
          <w:color w:val="auto"/>
          <w:sz w:val="32"/>
          <w:szCs w:val="32"/>
          <w:highlight w:val="none"/>
        </w:rPr>
        <w:tab/>
      </w:r>
    </w:p>
    <w:p w14:paraId="55A9B332">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 系统空间分辨率（FWHM mm）（FBP重建）</w:t>
      </w:r>
      <w:r>
        <w:rPr>
          <w:rFonts w:hint="eastAsia" w:ascii="方正仿宋_GBK" w:hAnsi="方正仿宋_GBK" w:eastAsia="方正仿宋_GBK" w:cs="方正仿宋_GBK"/>
          <w:color w:val="auto"/>
          <w:sz w:val="32"/>
          <w:szCs w:val="32"/>
          <w:highlight w:val="none"/>
        </w:rPr>
        <w:tab/>
      </w:r>
    </w:p>
    <w:p w14:paraId="74FE671D">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1.2.1.1 横向距中心1cm：≤3.0</w:t>
      </w:r>
    </w:p>
    <w:p w14:paraId="4EE8A94B">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1.2.1.2 横向距中心10cm：≤3.5</w:t>
      </w:r>
    </w:p>
    <w:p w14:paraId="66314AE9">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1.2.1.3 轴向距中心1cm：≤3.0</w:t>
      </w:r>
    </w:p>
    <w:p w14:paraId="4DD286A2">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1.2.1.4 轴向距中心10cm：≤3.5</w:t>
      </w:r>
    </w:p>
    <w:p w14:paraId="360F0361">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1.2.1.5系统灵敏度（cps/kBq）：≥8.9</w:t>
      </w:r>
    </w:p>
    <w:p w14:paraId="782434ED">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1.2.1.6具备TOF方式图像重建条件下的时间分辨率（ps）：≤385</w:t>
      </w:r>
    </w:p>
    <w:p w14:paraId="116845A9">
      <w:pPr>
        <w:keepNext w:val="0"/>
        <w:keepLines w:val="0"/>
        <w:pageBreakBefore w:val="0"/>
        <w:kinsoku/>
        <w:wordWrap/>
        <w:overflowPunct/>
        <w:topLinePunct w:val="0"/>
        <w:autoSpaceDE/>
        <w:autoSpaceDN/>
        <w:bidi w:val="0"/>
        <w:adjustRightInd/>
        <w:spacing w:line="594" w:lineRule="exact"/>
        <w:ind w:left="420" w:leftChars="200" w:firstLine="217" w:firstLineChars="68"/>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 xml:space="preserve">2.CT </w:t>
      </w:r>
      <w:r>
        <w:rPr>
          <w:rFonts w:hint="eastAsia" w:ascii="方正楷体_GBK" w:hAnsi="方正楷体_GBK" w:eastAsia="方正楷体_GBK" w:cs="方正楷体_GBK"/>
          <w:color w:val="auto"/>
          <w:sz w:val="32"/>
          <w:szCs w:val="32"/>
          <w:highlight w:val="none"/>
        </w:rPr>
        <w:tab/>
      </w:r>
    </w:p>
    <w:p w14:paraId="5EAA67B5">
      <w:pPr>
        <w:keepNext w:val="0"/>
        <w:keepLines w:val="0"/>
        <w:pageBreakBefore w:val="0"/>
        <w:kinsoku/>
        <w:wordWrap/>
        <w:overflowPunct/>
        <w:topLinePunct w:val="0"/>
        <w:autoSpaceDE/>
        <w:autoSpaceDN/>
        <w:bidi w:val="0"/>
        <w:adjustRightInd/>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2.1 扫描参数</w:t>
      </w:r>
      <w:r>
        <w:rPr>
          <w:rFonts w:hint="eastAsia" w:ascii="方正仿宋_GBK" w:hAnsi="方正仿宋_GBK" w:eastAsia="方正仿宋_GBK" w:cs="方正仿宋_GBK"/>
          <w:b/>
          <w:bCs/>
          <w:color w:val="auto"/>
          <w:sz w:val="32"/>
          <w:szCs w:val="32"/>
          <w:highlight w:val="none"/>
        </w:rPr>
        <w:tab/>
      </w:r>
    </w:p>
    <w:p w14:paraId="49AA9B3B">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2.1.1 最大扫描速度（s/360°）：≤0.35</w:t>
      </w:r>
    </w:p>
    <w:p w14:paraId="344EC80B">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2.1.2 螺旋连续扫描能力（s）：≥100</w:t>
      </w:r>
    </w:p>
    <w:p w14:paraId="6BB133F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2.1.3最薄采集层厚（mm）：≤2</w:t>
      </w:r>
    </w:p>
    <w:p w14:paraId="20F6BA72">
      <w:pPr>
        <w:keepNext w:val="0"/>
        <w:keepLines w:val="0"/>
        <w:pageBreakBefore w:val="0"/>
        <w:kinsoku/>
        <w:wordWrap/>
        <w:overflowPunct/>
        <w:topLinePunct w:val="0"/>
        <w:autoSpaceDE/>
        <w:autoSpaceDN/>
        <w:bidi w:val="0"/>
        <w:adjustRightInd/>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3. PET/CT</w:t>
      </w:r>
      <w:r>
        <w:rPr>
          <w:rFonts w:hint="eastAsia" w:ascii="方正楷体_GBK" w:hAnsi="方正楷体_GBK" w:eastAsia="方正楷体_GBK" w:cs="方正楷体_GBK"/>
          <w:color w:val="auto"/>
          <w:sz w:val="32"/>
          <w:szCs w:val="32"/>
          <w:highlight w:val="none"/>
        </w:rPr>
        <w:tab/>
      </w:r>
    </w:p>
    <w:p w14:paraId="514F72ED">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3.1 门控采集方式</w:t>
      </w:r>
      <w:r>
        <w:rPr>
          <w:rFonts w:hint="eastAsia" w:ascii="方正仿宋_GBK" w:hAnsi="方正仿宋_GBK" w:eastAsia="方正仿宋_GBK" w:cs="方正仿宋_GBK"/>
          <w:color w:val="auto"/>
          <w:sz w:val="32"/>
          <w:szCs w:val="32"/>
          <w:highlight w:val="none"/>
        </w:rPr>
        <w:tab/>
      </w:r>
      <w:r>
        <w:rPr>
          <w:rFonts w:hint="eastAsia" w:ascii="方正仿宋_GBK" w:hAnsi="方正仿宋_GBK" w:eastAsia="方正仿宋_GBK" w:cs="方正仿宋_GBK"/>
          <w:color w:val="auto"/>
          <w:sz w:val="32"/>
          <w:szCs w:val="32"/>
          <w:highlight w:val="none"/>
        </w:rPr>
        <w:t>：具备心电门控装置、呼吸门控装置系统或呼吸导航系统等。</w:t>
      </w:r>
    </w:p>
    <w:p w14:paraId="680BBDE4">
      <w:pPr>
        <w:keepNext w:val="0"/>
        <w:keepLines w:val="0"/>
        <w:pageBreakBefore w:val="0"/>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六、</w:t>
      </w:r>
      <w:r>
        <w:rPr>
          <w:rFonts w:hint="eastAsia" w:ascii="方正黑体_GBK" w:hAnsi="方正黑体_GBK" w:eastAsia="方正黑体_GBK" w:cs="方正黑体_GBK"/>
          <w:b/>
          <w:bCs/>
          <w:color w:val="auto"/>
          <w:sz w:val="32"/>
          <w:szCs w:val="32"/>
          <w:highlight w:val="none"/>
        </w:rPr>
        <w:t>应用软件</w:t>
      </w:r>
      <w:r>
        <w:rPr>
          <w:rFonts w:hint="eastAsia" w:ascii="方正黑体_GBK" w:hAnsi="方正黑体_GBK" w:eastAsia="方正黑体_GBK" w:cs="方正黑体_GBK"/>
          <w:color w:val="auto"/>
          <w:sz w:val="32"/>
          <w:szCs w:val="32"/>
          <w:highlight w:val="none"/>
        </w:rPr>
        <w:tab/>
      </w:r>
    </w:p>
    <w:p w14:paraId="5732ED5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 提供图像采集软件</w:t>
      </w:r>
    </w:p>
    <w:p w14:paraId="512092CE">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 提供图像重建软件（包含但不限于FBP、OSEM、OSEM+PSF、OSEM+TOF、OSEM+PSF+TOF等PET图像重建技术）。</w:t>
      </w:r>
    </w:p>
    <w:p w14:paraId="73485564">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 提供图像显示软件。</w:t>
      </w:r>
    </w:p>
    <w:p w14:paraId="4B729F0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 提供定量分析软件（SUV，VOI）。</w:t>
      </w:r>
    </w:p>
    <w:p w14:paraId="1EFF6E74">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 提供校正软件。</w:t>
      </w:r>
    </w:p>
    <w:p w14:paraId="46CEF49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 提供质量控制软件。</w:t>
      </w:r>
    </w:p>
    <w:p w14:paraId="320C6FA1">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7. 提供测试软件。</w:t>
      </w:r>
    </w:p>
    <w:p w14:paraId="786B644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 提供重建软件。</w:t>
      </w:r>
    </w:p>
    <w:p w14:paraId="76B94638">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9. 提供肿瘤疗效评估软件。</w:t>
      </w:r>
    </w:p>
    <w:p w14:paraId="367C3081">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10. CT应用软件。</w:t>
      </w:r>
      <w:r>
        <w:rPr>
          <w:rFonts w:hint="eastAsia" w:ascii="方正仿宋_GBK" w:hAnsi="方正仿宋_GBK" w:eastAsia="方正仿宋_GBK" w:cs="方正仿宋_GBK"/>
          <w:color w:val="auto"/>
          <w:sz w:val="32"/>
          <w:szCs w:val="32"/>
          <w:highlight w:val="none"/>
        </w:rPr>
        <w:tab/>
      </w:r>
    </w:p>
    <w:p w14:paraId="06FBD434">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 提供辐射剂量计算软件。</w:t>
      </w:r>
    </w:p>
    <w:p w14:paraId="4B28591F">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 提供低剂量软件。</w:t>
      </w:r>
    </w:p>
    <w:p w14:paraId="7399AC11">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13. PET/CT应用软件</w:t>
      </w:r>
      <w:r>
        <w:rPr>
          <w:rFonts w:hint="eastAsia" w:ascii="方正仿宋_GBK" w:hAnsi="方正仿宋_GBK" w:eastAsia="方正仿宋_GBK" w:cs="方正仿宋_GBK"/>
          <w:color w:val="auto"/>
          <w:sz w:val="32"/>
          <w:szCs w:val="32"/>
          <w:highlight w:val="none"/>
        </w:rPr>
        <w:tab/>
      </w:r>
      <w:r>
        <w:rPr>
          <w:rFonts w:hint="eastAsia" w:ascii="方正仿宋_GBK" w:hAnsi="方正仿宋_GBK" w:eastAsia="方正仿宋_GBK" w:cs="方正仿宋_GBK"/>
          <w:color w:val="auto"/>
          <w:sz w:val="32"/>
          <w:szCs w:val="32"/>
          <w:highlight w:val="none"/>
        </w:rPr>
        <w:t>。</w:t>
      </w:r>
    </w:p>
    <w:p w14:paraId="7F6BC75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14. 提供同机图像融合软件。</w:t>
      </w:r>
    </w:p>
    <w:p w14:paraId="20DA9F6C">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15. 提供动态采集与重建软件。</w:t>
      </w:r>
    </w:p>
    <w:p w14:paraId="322EF086">
      <w:pPr>
        <w:keepNext w:val="0"/>
        <w:keepLines w:val="0"/>
        <w:pageBreakBefore w:val="0"/>
        <w:numPr>
          <w:ilvl w:val="0"/>
          <w:numId w:val="5"/>
        </w:numPr>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第三方设备配置</w:t>
      </w:r>
    </w:p>
    <w:p w14:paraId="632C6D5C">
      <w:pPr>
        <w:keepNext w:val="0"/>
        <w:keepLines w:val="0"/>
        <w:pageBreakBefore w:val="0"/>
        <w:kinsoku/>
        <w:wordWrap/>
        <w:overflowPunct/>
        <w:topLinePunct w:val="0"/>
        <w:autoSpaceDE/>
        <w:autoSpaceDN/>
        <w:bidi w:val="0"/>
        <w:adjustRightInd/>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（一）基础设备</w:t>
      </w:r>
    </w:p>
    <w:p w14:paraId="0E6ED72E">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高压注射器。</w:t>
      </w:r>
    </w:p>
    <w:p w14:paraId="1112C261">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固定式区域辐射报 警系统（12探头）1套。</w:t>
      </w:r>
    </w:p>
    <w:p w14:paraId="33CED769">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2X、γ 辐射剂量率仪1台。</w:t>
      </w:r>
    </w:p>
    <w:p w14:paraId="5F7CBE5C">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个人剂量报警仪7</w:t>
      </w:r>
      <w:r>
        <w:rPr>
          <w:rFonts w:hint="eastAsia" w:ascii="方正仿宋_GBK" w:hAnsi="方正仿宋_GBK" w:eastAsia="方正仿宋_GBK" w:cs="方正仿宋_GBK"/>
          <w:color w:val="auto"/>
          <w:sz w:val="32"/>
          <w:szCs w:val="32"/>
          <w:highlight w:val="none"/>
        </w:rPr>
        <w:tab/>
      </w:r>
      <w:r>
        <w:rPr>
          <w:rFonts w:hint="eastAsia" w:ascii="方正仿宋_GBK" w:hAnsi="方正仿宋_GBK" w:eastAsia="方正仿宋_GBK" w:cs="方正仿宋_GBK"/>
          <w:color w:val="auto"/>
          <w:sz w:val="32"/>
          <w:szCs w:val="32"/>
          <w:highlight w:val="none"/>
        </w:rPr>
        <w:t>台。</w:t>
      </w:r>
    </w:p>
    <w:p w14:paraId="5B78B3D1">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表面污染仪2台。</w:t>
      </w:r>
    </w:p>
    <w:p w14:paraId="488984E9">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活度计2台。</w:t>
      </w:r>
      <w:r>
        <w:rPr>
          <w:rFonts w:hint="eastAsia" w:ascii="方正仿宋_GBK" w:hAnsi="方正仿宋_GBK" w:eastAsia="方正仿宋_GBK" w:cs="方正仿宋_GBK"/>
          <w:color w:val="auto"/>
          <w:sz w:val="32"/>
          <w:szCs w:val="32"/>
          <w:highlight w:val="none"/>
        </w:rPr>
        <w:tab/>
      </w:r>
    </w:p>
    <w:p w14:paraId="6E7A1EF9">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胶片打印机2台。</w:t>
      </w:r>
    </w:p>
    <w:p w14:paraId="2FE859DA">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个人防护用品（铅衣、铅背心、铅眼镜、铅围脖、铅手套、铅帽）7套。</w:t>
      </w:r>
      <w:r>
        <w:rPr>
          <w:rFonts w:hint="eastAsia" w:ascii="方正仿宋_GBK" w:hAnsi="方正仿宋_GBK" w:eastAsia="方正仿宋_GBK" w:cs="方正仿宋_GBK"/>
          <w:color w:val="auto"/>
          <w:sz w:val="32"/>
          <w:szCs w:val="32"/>
          <w:highlight w:val="none"/>
        </w:rPr>
        <w:tab/>
      </w:r>
    </w:p>
    <w:p w14:paraId="04C64DAF">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铅衣架（</w:t>
      </w:r>
      <w:r>
        <w:rPr>
          <w:rFonts w:hint="eastAsia" w:ascii="方正仿宋_GBK" w:hAnsi="方正仿宋_GBK" w:eastAsia="方正仿宋_GBK" w:cs="方正仿宋_GBK"/>
          <w:color w:val="auto"/>
          <w:sz w:val="32"/>
          <w:szCs w:val="32"/>
          <w:highlight w:val="none"/>
          <w:lang w:val="en-US" w:eastAsia="zh-CN"/>
        </w:rPr>
        <w:t>10</w:t>
      </w:r>
      <w:r>
        <w:rPr>
          <w:rFonts w:hint="eastAsia" w:ascii="方正仿宋_GBK" w:hAnsi="方正仿宋_GBK" w:eastAsia="方正仿宋_GBK" w:cs="方正仿宋_GBK"/>
          <w:color w:val="auto"/>
          <w:sz w:val="32"/>
          <w:szCs w:val="32"/>
          <w:highlight w:val="none"/>
        </w:rPr>
        <w:t>人位）2个。</w:t>
      </w:r>
    </w:p>
    <w:p w14:paraId="4FADF56C">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防护废物桶（PET）4个（20MMPB）。</w:t>
      </w:r>
      <w:r>
        <w:rPr>
          <w:rFonts w:hint="eastAsia" w:ascii="方正仿宋_GBK" w:hAnsi="方正仿宋_GBK" w:eastAsia="方正仿宋_GBK" w:cs="方正仿宋_GBK"/>
          <w:color w:val="auto"/>
          <w:sz w:val="32"/>
          <w:szCs w:val="32"/>
          <w:highlight w:val="none"/>
        </w:rPr>
        <w:tab/>
      </w:r>
    </w:p>
    <w:p w14:paraId="2091B64B">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废物衰变箱4个（20MMPB）。</w:t>
      </w:r>
      <w:r>
        <w:rPr>
          <w:rFonts w:hint="eastAsia" w:ascii="方正仿宋_GBK" w:hAnsi="方正仿宋_GBK" w:eastAsia="方正仿宋_GBK" w:cs="方正仿宋_GBK"/>
          <w:color w:val="auto"/>
          <w:sz w:val="32"/>
          <w:szCs w:val="32"/>
          <w:highlight w:val="none"/>
        </w:rPr>
        <w:tab/>
      </w:r>
      <w:r>
        <w:rPr>
          <w:rFonts w:hint="eastAsia" w:ascii="方正仿宋_GBK" w:hAnsi="方正仿宋_GBK" w:eastAsia="方正仿宋_GBK" w:cs="方正仿宋_GBK"/>
          <w:color w:val="auto"/>
          <w:sz w:val="32"/>
          <w:szCs w:val="32"/>
          <w:highlight w:val="none"/>
        </w:rPr>
        <w:tab/>
      </w:r>
    </w:p>
    <w:p w14:paraId="26F629C5">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核素注射防护车1台（10MMPB）</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ab/>
      </w:r>
      <w:r>
        <w:rPr>
          <w:rFonts w:hint="eastAsia" w:ascii="方正仿宋_GBK" w:hAnsi="方正仿宋_GBK" w:eastAsia="方正仿宋_GBK" w:cs="方正仿宋_GBK"/>
          <w:color w:val="auto"/>
          <w:sz w:val="32"/>
          <w:szCs w:val="32"/>
          <w:highlight w:val="none"/>
        </w:rPr>
        <w:tab/>
      </w:r>
    </w:p>
    <w:p w14:paraId="62BCF390">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注射器防护套5个（10MMPB）。</w:t>
      </w:r>
    </w:p>
    <w:p w14:paraId="2EB40271">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注射器防护盒2个（10MMPB）。</w:t>
      </w:r>
    </w:p>
    <w:p w14:paraId="0C6F0F17">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铅屏风1个（10MMPB）。</w:t>
      </w:r>
    </w:p>
    <w:p w14:paraId="5C64C599">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储源铅罐3个（40MMPB）。</w:t>
      </w:r>
    </w:p>
    <w:p w14:paraId="53F2944B">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同位素药物手工分装防护装置1个（40MMPB）。</w:t>
      </w:r>
    </w:p>
    <w:p w14:paraId="7AA3166C">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单联分装防护通风 橱（PET）1台（50MMPB）。</w:t>
      </w:r>
    </w:p>
    <w:p w14:paraId="38ECED4E">
      <w:pPr>
        <w:keepNext w:val="0"/>
        <w:keepLines w:val="0"/>
        <w:pageBreakBefore w:val="0"/>
        <w:numPr>
          <w:ilvl w:val="0"/>
          <w:numId w:val="6"/>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储源保险柜1台（20MMPB）。</w:t>
      </w:r>
    </w:p>
    <w:p w14:paraId="706D9AAA">
      <w:pPr>
        <w:keepNext w:val="0"/>
        <w:keepLines w:val="0"/>
        <w:pageBreakBefore w:val="0"/>
        <w:numPr>
          <w:ilvl w:val="0"/>
          <w:numId w:val="2"/>
        </w:numPr>
        <w:kinsoku/>
        <w:wordWrap/>
        <w:overflowPunct/>
        <w:topLinePunct w:val="0"/>
        <w:autoSpaceDE/>
        <w:autoSpaceDN/>
        <w:bidi w:val="0"/>
        <w:adjustRightInd/>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阅片设备</w:t>
      </w:r>
    </w:p>
    <w:p w14:paraId="184C9DCB">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86寸影像综合显示中心，1台</w:t>
      </w:r>
    </w:p>
    <w:p w14:paraId="7C7C69E4">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27寸8兆交互触摸医用显示器，1台</w:t>
      </w:r>
    </w:p>
    <w:p w14:paraId="549C3790">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37.5寸6兆曲面一体化三屏医用显示器，1台</w:t>
      </w:r>
    </w:p>
    <w:p w14:paraId="041800DB">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30寸6兆医用显示器，4台</w:t>
      </w:r>
    </w:p>
    <w:p w14:paraId="21811591">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1.2米可升降阅片工作台，6套</w:t>
      </w:r>
    </w:p>
    <w:p w14:paraId="6D8D0255">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音视频系统，1套</w:t>
      </w:r>
    </w:p>
    <w:p w14:paraId="7369BD23">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无线投屏系统，1套</w:t>
      </w:r>
    </w:p>
    <w:p w14:paraId="7229170B">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阅片中心智能控制管理平台系统，1套</w:t>
      </w:r>
    </w:p>
    <w:p w14:paraId="2EA12250">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环境监测系统，1套</w:t>
      </w:r>
    </w:p>
    <w:p w14:paraId="57BE1DE4">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专业灯光系统，1套</w:t>
      </w:r>
    </w:p>
    <w:p w14:paraId="2596781F">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影像切换系统，1套</w:t>
      </w:r>
    </w:p>
    <w:p w14:paraId="34A92447">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8M无损交互应用控制系统，1套</w:t>
      </w:r>
    </w:p>
    <w:p w14:paraId="2099408D">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电子讲台，1套</w:t>
      </w:r>
    </w:p>
    <w:p w14:paraId="456D78B5">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智能窗帘系统，1套</w:t>
      </w:r>
    </w:p>
    <w:p w14:paraId="4E943E98">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DIIS系统定制机柜，1套</w:t>
      </w:r>
    </w:p>
    <w:p w14:paraId="6F1DB9CA">
      <w:pPr>
        <w:keepNext w:val="0"/>
        <w:keepLines w:val="0"/>
        <w:pageBreakBefore w:val="0"/>
        <w:numPr>
          <w:ilvl w:val="0"/>
          <w:numId w:val="7"/>
        </w:numPr>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工作站6套，i7 12代以上，内存16g硬盘1t。</w:t>
      </w:r>
    </w:p>
    <w:p w14:paraId="7D34A060">
      <w:pPr>
        <w:keepNext w:val="0"/>
        <w:keepLines w:val="0"/>
        <w:pageBreakBefore w:val="0"/>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八、核医学信息系统</w:t>
      </w:r>
    </w:p>
    <w:p w14:paraId="59E2B057">
      <w:pPr>
        <w:keepNext w:val="0"/>
        <w:keepLines w:val="0"/>
        <w:pageBreakBefore w:val="0"/>
        <w:kinsoku/>
        <w:wordWrap/>
        <w:overflowPunct/>
        <w:topLinePunct w:val="0"/>
        <w:autoSpaceDE/>
        <w:autoSpaceDN/>
        <w:bidi w:val="0"/>
        <w:adjustRightInd/>
        <w:spacing w:line="594" w:lineRule="exact"/>
        <w:ind w:firstLine="560" w:firstLineChars="200"/>
        <w:rPr>
          <w:rFonts w:ascii="方正楷体_GBK" w:hAnsi="方正楷体_GBK" w:eastAsia="方正楷体_GBK" w:cs="方正楷体_GBK"/>
          <w:color w:val="auto"/>
          <w:sz w:val="28"/>
          <w:szCs w:val="28"/>
          <w:highlight w:val="none"/>
        </w:rPr>
      </w:pPr>
      <w:r>
        <w:rPr>
          <w:rFonts w:hint="eastAsia" w:ascii="方正楷体_GBK" w:hAnsi="方正楷体_GBK" w:eastAsia="方正楷体_GBK" w:cs="方正楷体_GBK"/>
          <w:color w:val="auto"/>
          <w:sz w:val="28"/>
          <w:szCs w:val="28"/>
          <w:highlight w:val="none"/>
        </w:rPr>
        <w:t>（一）配置清单</w:t>
      </w:r>
    </w:p>
    <w:tbl>
      <w:tblPr>
        <w:tblStyle w:val="9"/>
        <w:tblpPr w:leftFromText="181" w:rightFromText="181" w:vertAnchor="text" w:horzAnchor="margin" w:tblpX="1" w:tblpY="1"/>
        <w:tblOverlap w:val="never"/>
        <w:tblW w:w="517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2308"/>
        <w:gridCol w:w="4679"/>
        <w:gridCol w:w="817"/>
        <w:gridCol w:w="956"/>
      </w:tblGrid>
      <w:tr w14:paraId="49E5DC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17" w:type="pct"/>
            <w:tcBorders>
              <w:tl2br w:val="nil"/>
              <w:tr2bl w:val="nil"/>
            </w:tcBorders>
            <w:shd w:val="clear" w:color="auto" w:fill="auto"/>
            <w:vAlign w:val="center"/>
          </w:tcPr>
          <w:p w14:paraId="5A401A39">
            <w:pPr>
              <w:keepNext w:val="0"/>
              <w:keepLines w:val="0"/>
              <w:pageBreakBefore w:val="0"/>
              <w:widowControl/>
              <w:kinsoku/>
              <w:wordWrap/>
              <w:overflowPunct/>
              <w:topLinePunct w:val="0"/>
              <w:autoSpaceDE/>
              <w:autoSpaceDN/>
              <w:bidi w:val="0"/>
              <w:adjustRightInd/>
              <w:spacing w:line="594" w:lineRule="exact"/>
              <w:textAlignment w:val="center"/>
              <w:rPr>
                <w:rFonts w:ascii="方正黑体_GBK" w:hAnsi="方正黑体_GBK" w:eastAsia="方正黑体_GBK" w:cs="方正黑体_GBK"/>
                <w:color w:val="auto"/>
                <w:kern w:val="0"/>
                <w:sz w:val="28"/>
                <w:szCs w:val="28"/>
                <w:highlight w:val="none"/>
                <w:lang w:bidi="ar"/>
              </w:rPr>
            </w:pPr>
            <w:r>
              <w:rPr>
                <w:rFonts w:hint="eastAsia" w:ascii="方正黑体_GBK" w:hAnsi="方正黑体_GBK" w:eastAsia="方正黑体_GBK" w:cs="方正黑体_GBK"/>
                <w:color w:val="auto"/>
                <w:kern w:val="0"/>
                <w:sz w:val="28"/>
                <w:szCs w:val="28"/>
                <w:highlight w:val="none"/>
                <w:lang w:bidi="ar"/>
              </w:rPr>
              <w:t>序号</w:t>
            </w:r>
          </w:p>
        </w:tc>
        <w:tc>
          <w:tcPr>
            <w:tcW w:w="1207" w:type="pct"/>
            <w:tcBorders>
              <w:tl2br w:val="nil"/>
              <w:tr2bl w:val="nil"/>
            </w:tcBorders>
            <w:shd w:val="clear" w:color="auto" w:fill="auto"/>
            <w:vAlign w:val="center"/>
          </w:tcPr>
          <w:p w14:paraId="32C0171E">
            <w:pPr>
              <w:keepNext w:val="0"/>
              <w:keepLines w:val="0"/>
              <w:pageBreakBefore w:val="0"/>
              <w:widowControl/>
              <w:kinsoku/>
              <w:wordWrap/>
              <w:overflowPunct/>
              <w:topLinePunct w:val="0"/>
              <w:autoSpaceDE/>
              <w:autoSpaceDN/>
              <w:bidi w:val="0"/>
              <w:adjustRightInd/>
              <w:spacing w:line="594" w:lineRule="exact"/>
              <w:ind w:left="-840" w:leftChars="-400" w:firstLine="1173" w:firstLineChars="419"/>
              <w:jc w:val="center"/>
              <w:textAlignment w:val="center"/>
              <w:rPr>
                <w:rFonts w:ascii="方正黑体_GBK" w:hAnsi="方正黑体_GBK" w:eastAsia="方正黑体_GBK" w:cs="方正黑体_GBK"/>
                <w:color w:val="auto"/>
                <w:sz w:val="28"/>
                <w:szCs w:val="28"/>
                <w:highlight w:val="none"/>
              </w:rPr>
            </w:pPr>
            <w:r>
              <w:rPr>
                <w:rFonts w:hint="eastAsia" w:ascii="方正黑体_GBK" w:hAnsi="方正黑体_GBK" w:eastAsia="方正黑体_GBK" w:cs="方正黑体_GBK"/>
                <w:color w:val="auto"/>
                <w:kern w:val="0"/>
                <w:sz w:val="28"/>
                <w:szCs w:val="28"/>
                <w:highlight w:val="none"/>
                <w:lang w:bidi="ar"/>
              </w:rPr>
              <w:t>名称</w:t>
            </w:r>
          </w:p>
        </w:tc>
        <w:tc>
          <w:tcPr>
            <w:tcW w:w="2447" w:type="pct"/>
            <w:tcBorders>
              <w:tl2br w:val="nil"/>
              <w:tr2bl w:val="nil"/>
            </w:tcBorders>
            <w:shd w:val="clear" w:color="auto" w:fill="auto"/>
            <w:vAlign w:val="center"/>
          </w:tcPr>
          <w:p w14:paraId="7736FEF4">
            <w:pPr>
              <w:keepNext w:val="0"/>
              <w:keepLines w:val="0"/>
              <w:pageBreakBefore w:val="0"/>
              <w:widowControl/>
              <w:kinsoku/>
              <w:wordWrap/>
              <w:overflowPunct/>
              <w:topLinePunct w:val="0"/>
              <w:autoSpaceDE/>
              <w:autoSpaceDN/>
              <w:bidi w:val="0"/>
              <w:adjustRightInd/>
              <w:spacing w:line="594" w:lineRule="exact"/>
              <w:jc w:val="center"/>
              <w:textAlignment w:val="center"/>
              <w:rPr>
                <w:rFonts w:ascii="方正黑体_GBK" w:hAnsi="方正黑体_GBK" w:eastAsia="方正黑体_GBK" w:cs="方正黑体_GBK"/>
                <w:color w:val="auto"/>
                <w:sz w:val="28"/>
                <w:szCs w:val="28"/>
                <w:highlight w:val="none"/>
              </w:rPr>
            </w:pPr>
            <w:r>
              <w:rPr>
                <w:rFonts w:hint="eastAsia" w:ascii="方正黑体_GBK" w:hAnsi="方正黑体_GBK" w:eastAsia="方正黑体_GBK" w:cs="方正黑体_GBK"/>
                <w:color w:val="auto"/>
                <w:kern w:val="0"/>
                <w:sz w:val="28"/>
                <w:szCs w:val="28"/>
                <w:highlight w:val="none"/>
                <w:lang w:bidi="ar"/>
              </w:rPr>
              <w:t>配置</w:t>
            </w:r>
          </w:p>
        </w:tc>
        <w:tc>
          <w:tcPr>
            <w:tcW w:w="427" w:type="pct"/>
            <w:tcBorders>
              <w:tl2br w:val="nil"/>
              <w:tr2bl w:val="nil"/>
            </w:tcBorders>
            <w:shd w:val="clear" w:color="auto" w:fill="auto"/>
            <w:vAlign w:val="center"/>
          </w:tcPr>
          <w:p w14:paraId="62204B9F">
            <w:pPr>
              <w:keepNext w:val="0"/>
              <w:keepLines w:val="0"/>
              <w:pageBreakBefore w:val="0"/>
              <w:widowControl/>
              <w:kinsoku/>
              <w:wordWrap/>
              <w:overflowPunct/>
              <w:topLinePunct w:val="0"/>
              <w:autoSpaceDE/>
              <w:autoSpaceDN/>
              <w:bidi w:val="0"/>
              <w:adjustRightInd/>
              <w:spacing w:line="594" w:lineRule="exact"/>
              <w:jc w:val="center"/>
              <w:textAlignment w:val="center"/>
              <w:rPr>
                <w:rFonts w:ascii="方正黑体_GBK" w:hAnsi="方正黑体_GBK" w:eastAsia="方正黑体_GBK" w:cs="方正黑体_GBK"/>
                <w:color w:val="auto"/>
                <w:sz w:val="28"/>
                <w:szCs w:val="28"/>
                <w:highlight w:val="none"/>
              </w:rPr>
            </w:pPr>
            <w:r>
              <w:rPr>
                <w:rFonts w:hint="eastAsia" w:ascii="方正黑体_GBK" w:hAnsi="方正黑体_GBK" w:eastAsia="方正黑体_GBK" w:cs="方正黑体_GBK"/>
                <w:color w:val="auto"/>
                <w:kern w:val="0"/>
                <w:sz w:val="28"/>
                <w:szCs w:val="28"/>
                <w:highlight w:val="none"/>
                <w:lang w:bidi="ar"/>
              </w:rPr>
              <w:t>单位</w:t>
            </w:r>
          </w:p>
        </w:tc>
        <w:tc>
          <w:tcPr>
            <w:tcW w:w="500" w:type="pct"/>
            <w:tcBorders>
              <w:tl2br w:val="nil"/>
              <w:tr2bl w:val="nil"/>
            </w:tcBorders>
            <w:shd w:val="clear" w:color="auto" w:fill="auto"/>
            <w:vAlign w:val="center"/>
          </w:tcPr>
          <w:p w14:paraId="3D71885B">
            <w:pPr>
              <w:keepNext w:val="0"/>
              <w:keepLines w:val="0"/>
              <w:pageBreakBefore w:val="0"/>
              <w:widowControl/>
              <w:kinsoku/>
              <w:wordWrap/>
              <w:overflowPunct/>
              <w:topLinePunct w:val="0"/>
              <w:autoSpaceDE/>
              <w:autoSpaceDN/>
              <w:bidi w:val="0"/>
              <w:adjustRightInd/>
              <w:spacing w:line="594" w:lineRule="exact"/>
              <w:jc w:val="center"/>
              <w:textAlignment w:val="center"/>
              <w:rPr>
                <w:rFonts w:ascii="方正黑体_GBK" w:hAnsi="方正黑体_GBK" w:eastAsia="方正黑体_GBK" w:cs="方正黑体_GBK"/>
                <w:color w:val="auto"/>
                <w:sz w:val="28"/>
                <w:szCs w:val="28"/>
                <w:highlight w:val="none"/>
              </w:rPr>
            </w:pPr>
            <w:r>
              <w:rPr>
                <w:rFonts w:hint="eastAsia" w:ascii="方正黑体_GBK" w:hAnsi="方正黑体_GBK" w:eastAsia="方正黑体_GBK" w:cs="方正黑体_GBK"/>
                <w:color w:val="auto"/>
                <w:kern w:val="0"/>
                <w:sz w:val="28"/>
                <w:szCs w:val="28"/>
                <w:highlight w:val="none"/>
                <w:lang w:bidi="ar"/>
              </w:rPr>
              <w:t>数量</w:t>
            </w:r>
          </w:p>
        </w:tc>
      </w:tr>
      <w:tr w14:paraId="525C47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17" w:type="pct"/>
            <w:tcBorders>
              <w:tl2br w:val="nil"/>
              <w:tr2bl w:val="nil"/>
            </w:tcBorders>
            <w:shd w:val="clear" w:color="auto" w:fill="auto"/>
            <w:vAlign w:val="center"/>
          </w:tcPr>
          <w:p w14:paraId="4164C990">
            <w:pPr>
              <w:keepNext w:val="0"/>
              <w:keepLines w:val="0"/>
              <w:pageBreakBefore w:val="0"/>
              <w:widowControl/>
              <w:numPr>
                <w:ilvl w:val="0"/>
                <w:numId w:val="8"/>
              </w:numPr>
              <w:kinsoku/>
              <w:wordWrap/>
              <w:overflowPunct/>
              <w:topLinePunct w:val="0"/>
              <w:autoSpaceDE/>
              <w:autoSpaceDN/>
              <w:bidi w:val="0"/>
              <w:adjustRightInd/>
              <w:spacing w:line="594" w:lineRule="exact"/>
              <w:jc w:val="center"/>
              <w:textAlignment w:val="center"/>
              <w:rPr>
                <w:rFonts w:ascii="方正仿宋_GBK" w:hAnsi="方正仿宋_GBK" w:eastAsia="方正仿宋_GBK" w:cs="方正仿宋_GBK"/>
                <w:color w:val="auto"/>
                <w:kern w:val="0"/>
                <w:sz w:val="28"/>
                <w:szCs w:val="28"/>
                <w:highlight w:val="none"/>
                <w:lang w:bidi="ar"/>
              </w:rPr>
            </w:pPr>
          </w:p>
        </w:tc>
        <w:tc>
          <w:tcPr>
            <w:tcW w:w="1207" w:type="pct"/>
            <w:tcBorders>
              <w:tl2br w:val="nil"/>
              <w:tr2bl w:val="nil"/>
            </w:tcBorders>
            <w:shd w:val="clear" w:color="auto" w:fill="auto"/>
            <w:vAlign w:val="center"/>
          </w:tcPr>
          <w:p w14:paraId="272D23D4">
            <w:pPr>
              <w:keepNext w:val="0"/>
              <w:keepLines w:val="0"/>
              <w:pageBreakBefore w:val="0"/>
              <w:widowControl/>
              <w:kinsoku/>
              <w:wordWrap/>
              <w:overflowPunct/>
              <w:topLinePunct w:val="0"/>
              <w:autoSpaceDE/>
              <w:autoSpaceDN/>
              <w:bidi w:val="0"/>
              <w:adjustRightInd/>
              <w:spacing w:line="594" w:lineRule="exact"/>
              <w:jc w:val="center"/>
              <w:textAlignment w:val="center"/>
              <w:rPr>
                <w:rFonts w:ascii="方正仿宋_GBK" w:hAnsi="方正仿宋_GBK" w:eastAsia="方正仿宋_GBK" w:cs="方正仿宋_GBK"/>
                <w:color w:val="auto"/>
                <w:sz w:val="28"/>
                <w:szCs w:val="28"/>
                <w:highlight w:val="none"/>
              </w:rPr>
            </w:pPr>
            <w:r>
              <w:rPr>
                <w:rFonts w:hint="eastAsia" w:ascii="方正黑体_GBK" w:hAnsi="方正黑体_GBK" w:eastAsia="方正黑体_GBK" w:cs="方正黑体_GBK"/>
                <w:color w:val="auto"/>
                <w:sz w:val="28"/>
                <w:szCs w:val="28"/>
                <w:highlight w:val="none"/>
              </w:rPr>
              <w:t>核医学信息系统</w:t>
            </w:r>
          </w:p>
        </w:tc>
        <w:tc>
          <w:tcPr>
            <w:tcW w:w="2447" w:type="pct"/>
            <w:tcBorders>
              <w:tl2br w:val="nil"/>
              <w:tr2bl w:val="nil"/>
            </w:tcBorders>
            <w:shd w:val="clear" w:color="auto" w:fill="auto"/>
            <w:vAlign w:val="center"/>
          </w:tcPr>
          <w:p w14:paraId="3A6926DA">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服务端软件*1</w:t>
            </w:r>
          </w:p>
          <w:p w14:paraId="21745CA0">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预约登记*1</w:t>
            </w:r>
          </w:p>
          <w:p w14:paraId="53C81EE0">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电子叫号软件模块*1</w:t>
            </w:r>
          </w:p>
          <w:p w14:paraId="2783B545">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病史问诊工作站*1</w:t>
            </w:r>
          </w:p>
          <w:p w14:paraId="4169131C">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药物注射工作站*1</w:t>
            </w:r>
          </w:p>
          <w:p w14:paraId="1C889B64">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检查管理工作站*1</w:t>
            </w:r>
          </w:p>
          <w:p w14:paraId="55928185">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主任统计管理工作站*1</w:t>
            </w:r>
          </w:p>
          <w:p w14:paraId="09B06047">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影像融合处理与报告工作站*6</w:t>
            </w:r>
          </w:p>
          <w:p w14:paraId="4A544E39">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专家知识库系统模块*1</w:t>
            </w:r>
          </w:p>
          <w:p w14:paraId="782188F0">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核素治疗管理系统模块*1</w:t>
            </w:r>
          </w:p>
          <w:p w14:paraId="74843AFA">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sz w:val="28"/>
                <w:szCs w:val="28"/>
                <w:highlight w:val="none"/>
              </w:rPr>
              <w:t>考试系统模块*1</w:t>
            </w:r>
          </w:p>
        </w:tc>
        <w:tc>
          <w:tcPr>
            <w:tcW w:w="427" w:type="pct"/>
            <w:tcBorders>
              <w:tl2br w:val="nil"/>
              <w:tr2bl w:val="nil"/>
            </w:tcBorders>
            <w:shd w:val="clear" w:color="auto" w:fill="auto"/>
            <w:vAlign w:val="center"/>
          </w:tcPr>
          <w:p w14:paraId="33D6C5D4">
            <w:pPr>
              <w:keepNext w:val="0"/>
              <w:keepLines w:val="0"/>
              <w:pageBreakBefore w:val="0"/>
              <w:widowControl/>
              <w:kinsoku/>
              <w:wordWrap/>
              <w:overflowPunct/>
              <w:topLinePunct w:val="0"/>
              <w:autoSpaceDE/>
              <w:autoSpaceDN/>
              <w:bidi w:val="0"/>
              <w:adjustRightInd/>
              <w:spacing w:line="594" w:lineRule="exact"/>
              <w:jc w:val="center"/>
              <w:textAlignment w:val="center"/>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kern w:val="0"/>
                <w:sz w:val="28"/>
                <w:szCs w:val="28"/>
                <w:highlight w:val="none"/>
                <w:lang w:bidi="ar"/>
              </w:rPr>
              <w:t>套</w:t>
            </w:r>
          </w:p>
        </w:tc>
        <w:tc>
          <w:tcPr>
            <w:tcW w:w="500" w:type="pct"/>
            <w:tcBorders>
              <w:tl2br w:val="nil"/>
              <w:tr2bl w:val="nil"/>
            </w:tcBorders>
            <w:shd w:val="clear" w:color="auto" w:fill="auto"/>
            <w:vAlign w:val="center"/>
          </w:tcPr>
          <w:p w14:paraId="30DB734A">
            <w:pPr>
              <w:keepNext w:val="0"/>
              <w:keepLines w:val="0"/>
              <w:pageBreakBefore w:val="0"/>
              <w:widowControl/>
              <w:kinsoku/>
              <w:wordWrap/>
              <w:overflowPunct/>
              <w:topLinePunct w:val="0"/>
              <w:autoSpaceDE/>
              <w:autoSpaceDN/>
              <w:bidi w:val="0"/>
              <w:adjustRightInd/>
              <w:spacing w:line="594" w:lineRule="exact"/>
              <w:jc w:val="center"/>
              <w:textAlignment w:val="center"/>
              <w:rPr>
                <w:rFonts w:ascii="方正仿宋_GBK" w:hAnsi="方正仿宋_GBK" w:eastAsia="方正仿宋_GBK" w:cs="方正仿宋_GBK"/>
                <w:color w:val="auto"/>
                <w:sz w:val="28"/>
                <w:szCs w:val="28"/>
                <w:highlight w:val="none"/>
              </w:rPr>
            </w:pPr>
            <w:r>
              <w:rPr>
                <w:rFonts w:hint="eastAsia" w:ascii="方正仿宋_GBK" w:hAnsi="方正仿宋_GBK" w:eastAsia="方正仿宋_GBK" w:cs="方正仿宋_GBK"/>
                <w:color w:val="auto"/>
                <w:kern w:val="0"/>
                <w:sz w:val="28"/>
                <w:szCs w:val="28"/>
                <w:highlight w:val="none"/>
                <w:lang w:bidi="ar"/>
              </w:rPr>
              <w:t>1</w:t>
            </w:r>
          </w:p>
        </w:tc>
      </w:tr>
    </w:tbl>
    <w:p w14:paraId="1494E3B8">
      <w:pPr>
        <w:keepNext w:val="0"/>
        <w:keepLines w:val="0"/>
        <w:pageBreakBefore w:val="0"/>
        <w:kinsoku/>
        <w:wordWrap/>
        <w:overflowPunct/>
        <w:topLinePunct w:val="0"/>
        <w:autoSpaceDE/>
        <w:autoSpaceDN/>
        <w:bidi w:val="0"/>
        <w:adjustRightInd/>
        <w:spacing w:line="594" w:lineRule="exact"/>
        <w:ind w:firstLine="640" w:firstLineChars="200"/>
        <w:rPr>
          <w:rFonts w:ascii="方正黑体_GBK" w:hAnsi="方正黑体_GBK" w:eastAsia="方正黑体_GBK" w:cs="方正黑体_GBK"/>
          <w:color w:val="auto"/>
          <w:sz w:val="32"/>
          <w:szCs w:val="32"/>
          <w:highlight w:val="none"/>
        </w:rPr>
      </w:pPr>
      <w:r>
        <w:rPr>
          <w:rFonts w:hint="eastAsia" w:ascii="方正黑体_GBK" w:hAnsi="方正黑体_GBK" w:eastAsia="方正黑体_GBK" w:cs="方正黑体_GBK"/>
          <w:color w:val="auto"/>
          <w:sz w:val="32"/>
          <w:szCs w:val="32"/>
          <w:highlight w:val="none"/>
        </w:rPr>
        <w:t>九、商务需求</w:t>
      </w:r>
    </w:p>
    <w:p w14:paraId="51A20E97">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（一）交货期、交货地点及验收方式</w:t>
      </w:r>
    </w:p>
    <w:p w14:paraId="51169856">
      <w:pPr>
        <w:keepNext w:val="0"/>
        <w:keepLines w:val="0"/>
        <w:pageBreakBefore w:val="0"/>
        <w:kinsoku/>
        <w:wordWrap/>
        <w:overflowPunct/>
        <w:topLinePunct w:val="0"/>
        <w:autoSpaceDE/>
        <w:autoSpaceDN/>
        <w:bidi w:val="0"/>
        <w:adjustRightInd/>
        <w:snapToGrid w:val="0"/>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1</w:t>
      </w:r>
      <w:r>
        <w:rPr>
          <w:rFonts w:ascii="方正仿宋_GBK" w:hAnsi="方正仿宋_GBK" w:eastAsia="方正仿宋_GBK" w:cs="方正仿宋_GBK"/>
          <w:b/>
          <w:bCs/>
          <w:color w:val="auto"/>
          <w:sz w:val="32"/>
          <w:szCs w:val="32"/>
          <w:highlight w:val="none"/>
        </w:rPr>
        <w:t xml:space="preserve">. </w:t>
      </w:r>
      <w:r>
        <w:rPr>
          <w:rFonts w:hint="eastAsia" w:ascii="方正仿宋_GBK" w:hAnsi="方正仿宋_GBK" w:eastAsia="方正仿宋_GBK" w:cs="方正仿宋_GBK"/>
          <w:b/>
          <w:bCs/>
          <w:color w:val="auto"/>
          <w:sz w:val="32"/>
          <w:szCs w:val="32"/>
          <w:highlight w:val="none"/>
        </w:rPr>
        <w:t>交货期</w:t>
      </w:r>
    </w:p>
    <w:p w14:paraId="6ADF0124">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应在采购合同签订后</w:t>
      </w:r>
      <w:r>
        <w:rPr>
          <w:rFonts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8</w:t>
      </w:r>
      <w:r>
        <w:rPr>
          <w:rFonts w:ascii="方正仿宋_GBK" w:hAnsi="方正仿宋_GBK" w:eastAsia="方正仿宋_GBK" w:cs="方正仿宋_GBK"/>
          <w:color w:val="auto"/>
          <w:sz w:val="32"/>
          <w:szCs w:val="32"/>
          <w:highlight w:val="none"/>
        </w:rPr>
        <w:t>0</w:t>
      </w:r>
      <w:r>
        <w:rPr>
          <w:rFonts w:hint="eastAsia" w:ascii="方正仿宋_GBK" w:hAnsi="方正仿宋_GBK" w:eastAsia="方正仿宋_GBK" w:cs="方正仿宋_GBK"/>
          <w:color w:val="auto"/>
          <w:sz w:val="32"/>
          <w:szCs w:val="32"/>
          <w:highlight w:val="none"/>
        </w:rPr>
        <w:t>个日历日完成该项目的房屋改建、装修装饰、配套设施的建设</w:t>
      </w:r>
      <w:r>
        <w:rPr>
          <w:rFonts w:hint="eastAsia" w:ascii="方正仿宋_GBK" w:hAnsi="方正仿宋_GBK" w:eastAsia="方正仿宋_GBK" w:cs="方正仿宋_GBK"/>
          <w:color w:val="auto"/>
          <w:sz w:val="32"/>
          <w:szCs w:val="32"/>
          <w:highlight w:val="none"/>
          <w:lang w:val="en-US" w:eastAsia="zh-CN"/>
        </w:rPr>
        <w:t>及</w:t>
      </w:r>
      <w:r>
        <w:rPr>
          <w:rFonts w:hint="eastAsia" w:ascii="方正仿宋_GBK" w:hAnsi="方正仿宋_GBK" w:eastAsia="方正仿宋_GBK" w:cs="方正仿宋_GBK"/>
          <w:color w:val="auto"/>
          <w:sz w:val="32"/>
          <w:szCs w:val="32"/>
          <w:highlight w:val="none"/>
        </w:rPr>
        <w:t>设备</w:t>
      </w:r>
      <w:r>
        <w:rPr>
          <w:rFonts w:hint="eastAsia" w:ascii="方正仿宋_GBK" w:hAnsi="方正仿宋_GBK" w:eastAsia="方正仿宋_GBK" w:cs="方正仿宋_GBK"/>
          <w:color w:val="auto"/>
          <w:sz w:val="32"/>
          <w:szCs w:val="32"/>
          <w:highlight w:val="none"/>
          <w:lang w:val="en-US" w:eastAsia="zh-CN"/>
        </w:rPr>
        <w:t>类</w:t>
      </w:r>
      <w:r>
        <w:rPr>
          <w:rFonts w:hint="eastAsia" w:ascii="方正仿宋_GBK" w:hAnsi="方正仿宋_GBK" w:eastAsia="方正仿宋_GBK" w:cs="方正仿宋_GBK"/>
          <w:color w:val="auto"/>
          <w:sz w:val="32"/>
          <w:szCs w:val="32"/>
          <w:highlight w:val="none"/>
        </w:rPr>
        <w:t>安装、调试、试用</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验收合格</w:t>
      </w:r>
      <w:r>
        <w:rPr>
          <w:rFonts w:hint="eastAsia" w:ascii="方正仿宋_GBK" w:hAnsi="方正仿宋_GBK" w:eastAsia="方正仿宋_GBK" w:cs="方正仿宋_GBK"/>
          <w:color w:val="auto"/>
          <w:sz w:val="32"/>
          <w:szCs w:val="32"/>
          <w:highlight w:val="none"/>
        </w:rPr>
        <w:t>，并配合完成采购人相关证件办理。</w:t>
      </w:r>
    </w:p>
    <w:p w14:paraId="083BC37C">
      <w:pPr>
        <w:pStyle w:val="14"/>
        <w:keepNext w:val="0"/>
        <w:keepLines w:val="0"/>
        <w:pageBreakBefore w:val="0"/>
        <w:kinsoku/>
        <w:wordWrap/>
        <w:overflowPunct/>
        <w:topLinePunct w:val="0"/>
        <w:autoSpaceDE/>
        <w:autoSpaceDN/>
        <w:bidi w:val="0"/>
        <w:adjustRightInd/>
        <w:snapToGrid w:val="0"/>
        <w:spacing w:line="594" w:lineRule="exact"/>
        <w:ind w:left="420" w:leftChars="200" w:firstLine="218" w:firstLineChars="68"/>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2.交货地点</w:t>
      </w:r>
    </w:p>
    <w:p w14:paraId="77C713D5">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交货地点：采购人指定地点。</w:t>
      </w:r>
    </w:p>
    <w:p w14:paraId="2B50BD87">
      <w:pPr>
        <w:keepNext w:val="0"/>
        <w:keepLines w:val="0"/>
        <w:pageBreakBefore w:val="0"/>
        <w:kinsoku/>
        <w:wordWrap/>
        <w:overflowPunct/>
        <w:topLinePunct w:val="0"/>
        <w:autoSpaceDE/>
        <w:autoSpaceDN/>
        <w:bidi w:val="0"/>
        <w:adjustRightInd/>
        <w:snapToGrid w:val="0"/>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3</w:t>
      </w:r>
      <w:r>
        <w:rPr>
          <w:rFonts w:ascii="方正仿宋_GBK" w:hAnsi="方正仿宋_GBK" w:eastAsia="方正仿宋_GBK" w:cs="方正仿宋_GBK"/>
          <w:b/>
          <w:bCs/>
          <w:color w:val="auto"/>
          <w:sz w:val="32"/>
          <w:szCs w:val="32"/>
          <w:highlight w:val="none"/>
        </w:rPr>
        <w:t xml:space="preserve">. </w:t>
      </w:r>
      <w:r>
        <w:rPr>
          <w:rFonts w:hint="eastAsia" w:ascii="方正仿宋_GBK" w:hAnsi="方正仿宋_GBK" w:eastAsia="方正仿宋_GBK" w:cs="方正仿宋_GBK"/>
          <w:b/>
          <w:bCs/>
          <w:color w:val="auto"/>
          <w:sz w:val="32"/>
          <w:szCs w:val="32"/>
          <w:highlight w:val="none"/>
        </w:rPr>
        <w:t>验收方式</w:t>
      </w:r>
    </w:p>
    <w:p w14:paraId="1D1A15C7">
      <w:pPr>
        <w:keepNext w:val="0"/>
        <w:keepLines w:val="0"/>
        <w:pageBreakBefore w:val="0"/>
        <w:kinsoku/>
        <w:wordWrap/>
        <w:overflowPunct/>
        <w:topLinePunct w:val="0"/>
        <w:autoSpaceDE/>
        <w:autoSpaceDN/>
        <w:bidi w:val="0"/>
        <w:adjustRightInd/>
        <w:snapToGrid w:val="0"/>
        <w:spacing w:line="594"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3.1设备验收方式</w:t>
      </w:r>
    </w:p>
    <w:p w14:paraId="5383B424">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货物到达现场后，</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应在使用单位人员在场情况下当面开箱，共同清点、检查外观，作出开箱记录，双方签字确认，开箱验收仅作货到现场凭证，设备是否验收合格</w:t>
      </w:r>
      <w:r>
        <w:rPr>
          <w:rFonts w:hint="eastAsia" w:ascii="方正仿宋_GBK" w:hAnsi="方正仿宋_GBK" w:eastAsia="方正仿宋_GBK" w:cs="方正仿宋_GBK"/>
          <w:color w:val="auto"/>
          <w:sz w:val="32"/>
          <w:szCs w:val="32"/>
          <w:highlight w:val="none"/>
          <w:lang w:val="en-US" w:eastAsia="zh-CN"/>
        </w:rPr>
        <w:t>以</w:t>
      </w:r>
      <w:r>
        <w:rPr>
          <w:rFonts w:hint="eastAsia" w:ascii="方正仿宋_GBK" w:hAnsi="方正仿宋_GBK" w:eastAsia="方正仿宋_GBK" w:cs="方正仿宋_GBK"/>
          <w:color w:val="auto"/>
          <w:sz w:val="32"/>
          <w:szCs w:val="32"/>
          <w:highlight w:val="none"/>
        </w:rPr>
        <w:t>第三方验收结论为准。</w:t>
      </w:r>
    </w:p>
    <w:p w14:paraId="7EA2A995">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1.2</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应保证货物到达采购人所在地完好无损，如有缺漏、损坏，由</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负责调换、补齐或赔偿。</w:t>
      </w:r>
    </w:p>
    <w:p w14:paraId="4150B788">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1.3</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应随货提供完备的技术资料、装箱单和合格证等，并派遣专业技术人员进行现场安装调试。验收合格条件如下：</w:t>
      </w:r>
    </w:p>
    <w:p w14:paraId="509DC6BB">
      <w:pPr>
        <w:keepNext w:val="0"/>
        <w:keepLines w:val="0"/>
        <w:pageBreakBefore w:val="0"/>
        <w:kinsoku/>
        <w:wordWrap/>
        <w:overflowPunct/>
        <w:topLinePunct w:val="0"/>
        <w:autoSpaceDE/>
        <w:autoSpaceDN/>
        <w:bidi w:val="0"/>
        <w:adjustRightInd/>
        <w:snapToGrid w:val="0"/>
        <w:spacing w:line="594"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w:t>
      </w:r>
      <w:r>
        <w:rPr>
          <w:rFonts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rPr>
        <w:t>设备技术参数与采购合同一致，性能指标达到规定的标准。</w:t>
      </w:r>
      <w:r>
        <w:rPr>
          <w:rFonts w:hint="eastAsia" w:ascii="方正仿宋_GBK" w:hAnsi="方正仿宋_GBK" w:eastAsia="方正仿宋_GBK" w:cs="方正仿宋_GBK"/>
          <w:color w:val="auto"/>
          <w:sz w:val="32"/>
          <w:szCs w:val="32"/>
          <w:highlight w:val="none"/>
          <w:lang w:val="en-US" w:eastAsia="zh-CN"/>
        </w:rPr>
        <w:t>投标的医疗设备若为国产设备所有零部件生产日期须在半年以内，若为进口设备所有零部件生产日期须在一年以内，否则视为验收不合格。</w:t>
      </w:r>
    </w:p>
    <w:p w14:paraId="4FDDC41B">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w:t>
      </w:r>
      <w:r>
        <w:rPr>
          <w:rFonts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货物技术资料、装箱单、合格证等资料齐全。</w:t>
      </w:r>
    </w:p>
    <w:p w14:paraId="09B9274A">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w:t>
      </w:r>
      <w:r>
        <w:rPr>
          <w:rFonts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在试运行期间所出现的问题得到解决，并运行正常。</w:t>
      </w:r>
    </w:p>
    <w:p w14:paraId="1F24EF71">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w:t>
      </w:r>
      <w:r>
        <w:rPr>
          <w:rFonts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在规定时间内完成交货并验收，并经采购人确认。</w:t>
      </w:r>
    </w:p>
    <w:p w14:paraId="6702864F">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1.7</w:t>
      </w:r>
      <w:r>
        <w:rPr>
          <w:rFonts w:hint="eastAsia" w:ascii="方正仿宋_GBK" w:hAnsi="方正仿宋_GBK" w:eastAsia="方正仿宋_GBK" w:cs="方正仿宋_GBK"/>
          <w:color w:val="auto"/>
          <w:sz w:val="32"/>
          <w:szCs w:val="32"/>
          <w:highlight w:val="none"/>
        </w:rPr>
        <w:t>产品在安装调试并试运行符合要求后，才作为最终验收。</w:t>
      </w:r>
    </w:p>
    <w:p w14:paraId="66E770BE">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1.8</w:t>
      </w:r>
      <w:r>
        <w:rPr>
          <w:rFonts w:hint="eastAsia" w:ascii="方正仿宋_GBK" w:hAnsi="方正仿宋_GBK" w:eastAsia="方正仿宋_GBK" w:cs="方正仿宋_GBK"/>
          <w:color w:val="auto"/>
          <w:sz w:val="32"/>
          <w:szCs w:val="32"/>
          <w:highlight w:val="none"/>
        </w:rPr>
        <w:t>采购人不接受未达到采购文件规定要求的货物，对采购人造成损失的，由</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承担一切责任，并赔偿所造成的损失。</w:t>
      </w:r>
    </w:p>
    <w:p w14:paraId="57DD2661">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1.9</w:t>
      </w:r>
      <w:r>
        <w:rPr>
          <w:rFonts w:hint="eastAsia" w:ascii="方正仿宋_GBK" w:hAnsi="方正仿宋_GBK" w:eastAsia="方正仿宋_GBK" w:cs="方正仿宋_GBK"/>
          <w:color w:val="auto"/>
          <w:sz w:val="32"/>
          <w:szCs w:val="32"/>
          <w:highlight w:val="none"/>
        </w:rPr>
        <w:t>采购人需要制造商对</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交付的产品（包括质量、技术参数等）进行确认的，制造商应予以配合，并出具书面意见。</w:t>
      </w:r>
    </w:p>
    <w:p w14:paraId="5A162CA8">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1.10</w:t>
      </w:r>
      <w:r>
        <w:rPr>
          <w:rFonts w:hint="eastAsia" w:ascii="方正仿宋_GBK" w:hAnsi="方正仿宋_GBK" w:eastAsia="方正仿宋_GBK" w:cs="方正仿宋_GBK"/>
          <w:color w:val="auto"/>
          <w:sz w:val="32"/>
          <w:szCs w:val="32"/>
          <w:highlight w:val="none"/>
        </w:rPr>
        <w:t>产品包装材料归采购人所有。</w:t>
      </w:r>
    </w:p>
    <w:p w14:paraId="1FBC0592">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1.11</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应向采购人提供完</w:t>
      </w:r>
      <w:r>
        <w:rPr>
          <w:rFonts w:hint="eastAsia" w:eastAsia="方正仿宋_GBK" w:cs="方正仿宋_GBK"/>
          <w:color w:val="auto"/>
          <w:sz w:val="32"/>
          <w:szCs w:val="32"/>
          <w:highlight w:val="none"/>
        </w:rPr>
        <w:t>整汇编装订成册的完工资料（含</w:t>
      </w:r>
      <w:r>
        <w:rPr>
          <w:rFonts w:hint="eastAsia" w:ascii="方正仿宋_GBK" w:hAnsi="方正仿宋_GBK" w:eastAsia="方正仿宋_GBK" w:cs="方正仿宋_GBK"/>
          <w:color w:val="auto"/>
          <w:sz w:val="32"/>
          <w:szCs w:val="32"/>
          <w:highlight w:val="none"/>
        </w:rPr>
        <w:t>技术资料、检测、培训、验收、签收等</w:t>
      </w:r>
      <w:r>
        <w:rPr>
          <w:rFonts w:hint="eastAsia"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rPr>
        <w:t>一正一副各壹套（说明书纸质版与电子版各一套）、检验报告、合格证书、报关单（进口设备需要）、进口检验报告（进口设备需要）、装箱单等）。且预先提供验收标准，填写验收报告书，供最终双方确认所用。各项指标和参数应符合验收标准。本项目需委托公立</w:t>
      </w:r>
      <w:r>
        <w:rPr>
          <w:rFonts w:hint="eastAsia" w:ascii="方正仿宋_GBK" w:hAnsi="方正仿宋_GBK" w:eastAsia="方正仿宋_GBK" w:cs="方正仿宋_GBK"/>
          <w:color w:val="auto"/>
          <w:sz w:val="32"/>
          <w:szCs w:val="32"/>
          <w:highlight w:val="none"/>
          <w:lang w:val="en-US" w:eastAsia="zh-CN"/>
        </w:rPr>
        <w:t>第三方有资质的坚持机构</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val="en-US" w:eastAsia="zh-CN"/>
        </w:rPr>
        <w:t>如：</w:t>
      </w:r>
      <w:r>
        <w:rPr>
          <w:rFonts w:hint="eastAsia" w:ascii="方正仿宋_GBK" w:hAnsi="方正仿宋_GBK" w:eastAsia="方正仿宋_GBK" w:cs="方正仿宋_GBK"/>
          <w:color w:val="auto"/>
          <w:sz w:val="32"/>
          <w:szCs w:val="32"/>
          <w:highlight w:val="none"/>
        </w:rPr>
        <w:t>重庆市医检所、疾控中心、计量监督局等），国内有资格单位或机构对设备性能、精度在设备安装完成20个工作日内进行核检，并出具合格的验收检测报告，费用由</w:t>
      </w:r>
      <w:r>
        <w:rPr>
          <w:rFonts w:hint="eastAsia" w:ascii="方正仿宋_GBK" w:hAnsi="方正仿宋_GBK" w:eastAsia="方正仿宋_GBK" w:cs="方正仿宋_GBK"/>
          <w:color w:val="auto"/>
          <w:sz w:val="32"/>
          <w:szCs w:val="32"/>
          <w:highlight w:val="none"/>
          <w:lang w:val="en-US" w:eastAsia="zh-CN"/>
        </w:rPr>
        <w:t>中标人</w:t>
      </w:r>
      <w:r>
        <w:rPr>
          <w:rFonts w:hint="eastAsia" w:ascii="方正仿宋_GBK" w:hAnsi="方正仿宋_GBK" w:eastAsia="方正仿宋_GBK" w:cs="方正仿宋_GBK"/>
          <w:color w:val="auto"/>
          <w:sz w:val="32"/>
          <w:szCs w:val="32"/>
          <w:highlight w:val="none"/>
        </w:rPr>
        <w:t>负责</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提前3天向采购人递交验收申请（申请内容包含验收时间、事项、验收机构名单等）,采购人审核同意后实施验收。</w:t>
      </w:r>
    </w:p>
    <w:p w14:paraId="0B2E7208">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1.12</w:t>
      </w:r>
      <w:r>
        <w:rPr>
          <w:rFonts w:hint="eastAsia" w:ascii="方正仿宋_GBK" w:hAnsi="方正仿宋_GBK" w:eastAsia="方正仿宋_GBK" w:cs="方正仿宋_GBK"/>
          <w:color w:val="auto"/>
          <w:sz w:val="32"/>
          <w:szCs w:val="32"/>
          <w:highlight w:val="none"/>
        </w:rPr>
        <w:t>设备安装调试完毕后采购人按照国家及行业相关标准进行验收，如验收不合格，</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承担一切责任，并赔偿给采购人所造成的损失。验收需要相关职能部门（疾控中心、计量监督局），国内有资格单位或机构出具设备质量检验合格报告的，</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需向采购人提供，如未能提供视为验收不合格。</w:t>
      </w:r>
    </w:p>
    <w:p w14:paraId="0FD95508">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3.1</w:t>
      </w:r>
      <w:r>
        <w:rPr>
          <w:rFonts w:hint="eastAsia" w:ascii="方正仿宋_GBK" w:hAnsi="方正仿宋_GBK" w:eastAsia="方正仿宋_GBK" w:cs="方正仿宋_GBK"/>
          <w:color w:val="auto"/>
          <w:sz w:val="32"/>
          <w:szCs w:val="32"/>
          <w:highlight w:val="none"/>
          <w:lang w:val="en-US" w:eastAsia="zh-CN"/>
        </w:rPr>
        <w:t>.13</w:t>
      </w:r>
      <w:r>
        <w:rPr>
          <w:rFonts w:hint="eastAsia" w:ascii="方正仿宋_GBK" w:hAnsi="方正仿宋_GBK" w:eastAsia="方正仿宋_GBK" w:cs="方正仿宋_GBK"/>
          <w:color w:val="auto"/>
          <w:sz w:val="32"/>
          <w:szCs w:val="32"/>
          <w:highlight w:val="none"/>
        </w:rPr>
        <w:t>本项目若需介入医院HIS等信息系统，</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需免费提供接口，并承担接入相关费用。</w:t>
      </w:r>
    </w:p>
    <w:p w14:paraId="3F280A28">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3.1</w:t>
      </w:r>
      <w:r>
        <w:rPr>
          <w:rFonts w:hint="eastAsia" w:ascii="方正仿宋_GBK" w:hAnsi="方正仿宋_GBK" w:eastAsia="方正仿宋_GBK" w:cs="方正仿宋_GBK"/>
          <w:color w:val="auto"/>
          <w:sz w:val="32"/>
          <w:szCs w:val="32"/>
          <w:highlight w:val="none"/>
          <w:lang w:val="en-US" w:eastAsia="zh-CN"/>
        </w:rPr>
        <w:t>.14</w:t>
      </w:r>
      <w:r>
        <w:rPr>
          <w:rFonts w:hint="eastAsia" w:ascii="方正仿宋_GBK" w:hAnsi="方正仿宋_GBK" w:eastAsia="方正仿宋_GBK" w:cs="方正仿宋_GBK"/>
          <w:color w:val="auto"/>
          <w:sz w:val="32"/>
          <w:szCs w:val="32"/>
          <w:highlight w:val="none"/>
        </w:rPr>
        <w:t>PET-CT及第三方设备均不得设置设备技术密码，如有需终身免费提供。</w:t>
      </w:r>
    </w:p>
    <w:p w14:paraId="26F61713">
      <w:pPr>
        <w:keepNext w:val="0"/>
        <w:keepLines w:val="0"/>
        <w:pageBreakBefore w:val="0"/>
        <w:kinsoku/>
        <w:wordWrap/>
        <w:overflowPunct/>
        <w:topLinePunct w:val="0"/>
        <w:autoSpaceDE/>
        <w:autoSpaceDN/>
        <w:bidi w:val="0"/>
        <w:adjustRightInd/>
        <w:snapToGrid w:val="0"/>
        <w:spacing w:line="594"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2工程类施工和验收，中标人需提供符合本项目（核医学）国家标准要求的承建方资质。</w:t>
      </w:r>
    </w:p>
    <w:p w14:paraId="359760A7">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3.2.1</w:t>
      </w:r>
      <w:r>
        <w:rPr>
          <w:rFonts w:hint="eastAsia" w:ascii="方正仿宋_GBK" w:hAnsi="方正仿宋_GBK" w:eastAsia="方正仿宋_GBK" w:cs="方正仿宋_GBK"/>
          <w:color w:val="auto"/>
          <w:sz w:val="32"/>
          <w:szCs w:val="32"/>
          <w:highlight w:val="none"/>
        </w:rPr>
        <w:t>装饰装修工程按照建设工程类组织验收，必须执行样板间带路，材料必须事前（不低于15天）报送三个以上的品牌由监理、采购人、设计人（如需）按照设计、规范进行确定，按建设规范应检必检合格后方可用于施工，否则视为不合格工程，</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自行承担一切费用和责任。</w:t>
      </w:r>
    </w:p>
    <w:p w14:paraId="6AE5BDBC">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2.2</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应保证该楼栋各系统运行良好，</w:t>
      </w:r>
      <w:r>
        <w:rPr>
          <w:rFonts w:ascii="方正仿宋_GBK" w:hAnsi="方正仿宋_GBK" w:eastAsia="方正仿宋_GBK" w:cs="方正仿宋_GBK"/>
          <w:color w:val="auto"/>
          <w:sz w:val="32"/>
          <w:szCs w:val="32"/>
          <w:highlight w:val="none"/>
        </w:rPr>
        <w:t>包括但不限于</w:t>
      </w:r>
      <w:r>
        <w:rPr>
          <w:rFonts w:hint="eastAsia" w:ascii="方正仿宋_GBK" w:hAnsi="方正仿宋_GBK" w:eastAsia="方正仿宋_GBK" w:cs="方正仿宋_GBK"/>
          <w:color w:val="auto"/>
          <w:sz w:val="32"/>
          <w:szCs w:val="32"/>
          <w:highlight w:val="none"/>
        </w:rPr>
        <w:t>消防</w:t>
      </w:r>
      <w:r>
        <w:rPr>
          <w:rFonts w:ascii="方正仿宋_GBK" w:hAnsi="方正仿宋_GBK" w:eastAsia="方正仿宋_GBK" w:cs="方正仿宋_GBK"/>
          <w:color w:val="auto"/>
          <w:sz w:val="32"/>
          <w:szCs w:val="32"/>
          <w:highlight w:val="none"/>
        </w:rPr>
        <w:t>系统、智能化系统、医疗</w:t>
      </w:r>
      <w:r>
        <w:rPr>
          <w:rFonts w:hint="eastAsia" w:ascii="方正仿宋_GBK" w:hAnsi="方正仿宋_GBK" w:eastAsia="方正仿宋_GBK" w:cs="方正仿宋_GBK"/>
          <w:color w:val="auto"/>
          <w:sz w:val="32"/>
          <w:szCs w:val="32"/>
          <w:highlight w:val="none"/>
        </w:rPr>
        <w:t>系统</w:t>
      </w:r>
      <w:r>
        <w:rPr>
          <w:rFonts w:ascii="方正仿宋_GBK" w:hAnsi="方正仿宋_GBK" w:eastAsia="方正仿宋_GBK" w:cs="方正仿宋_GBK"/>
          <w:color w:val="auto"/>
          <w:sz w:val="32"/>
          <w:szCs w:val="32"/>
          <w:highlight w:val="none"/>
        </w:rPr>
        <w:t>等</w:t>
      </w:r>
      <w:r>
        <w:rPr>
          <w:rFonts w:hint="eastAsia" w:ascii="方正仿宋_GBK" w:hAnsi="方正仿宋_GBK" w:eastAsia="方正仿宋_GBK" w:cs="方正仿宋_GBK"/>
          <w:color w:val="auto"/>
          <w:sz w:val="32"/>
          <w:szCs w:val="32"/>
          <w:highlight w:val="none"/>
        </w:rPr>
        <w:t>，提供详细的检测报告、操作手册，如有缺漏、损坏，由</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负责调换、补齐或赔偿。如本次</w:t>
      </w:r>
      <w:r>
        <w:rPr>
          <w:rFonts w:ascii="方正仿宋_GBK" w:hAnsi="方正仿宋_GBK" w:eastAsia="方正仿宋_GBK" w:cs="方正仿宋_GBK"/>
          <w:color w:val="auto"/>
          <w:sz w:val="32"/>
          <w:szCs w:val="32"/>
          <w:highlight w:val="none"/>
        </w:rPr>
        <w:t>安装的各项系统不能兼容</w:t>
      </w:r>
      <w:r>
        <w:rPr>
          <w:rFonts w:hint="eastAsia" w:ascii="方正仿宋_GBK" w:hAnsi="方正仿宋_GBK" w:eastAsia="方正仿宋_GBK" w:cs="方正仿宋_GBK"/>
          <w:color w:val="auto"/>
          <w:sz w:val="32"/>
          <w:szCs w:val="32"/>
          <w:highlight w:val="none"/>
        </w:rPr>
        <w:t>到</w:t>
      </w:r>
      <w:r>
        <w:rPr>
          <w:rFonts w:ascii="方正仿宋_GBK" w:hAnsi="方正仿宋_GBK" w:eastAsia="方正仿宋_GBK" w:cs="方正仿宋_GBK"/>
          <w:color w:val="auto"/>
          <w:sz w:val="32"/>
          <w:szCs w:val="32"/>
          <w:highlight w:val="none"/>
        </w:rPr>
        <w:t>医院现有系统</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则视为不合格工程，</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自行承担一切费用和责任。</w:t>
      </w:r>
    </w:p>
    <w:p w14:paraId="1600C39E">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2.3</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本次采购安装</w:t>
      </w:r>
      <w:r>
        <w:rPr>
          <w:rFonts w:ascii="方正仿宋_GBK" w:hAnsi="方正仿宋_GBK" w:eastAsia="方正仿宋_GBK" w:cs="方正仿宋_GBK"/>
          <w:color w:val="auto"/>
          <w:sz w:val="32"/>
          <w:szCs w:val="32"/>
          <w:highlight w:val="none"/>
        </w:rPr>
        <w:t>包</w:t>
      </w:r>
      <w:r>
        <w:rPr>
          <w:rFonts w:hint="eastAsia" w:ascii="方正仿宋_GBK" w:hAnsi="方正仿宋_GBK" w:eastAsia="方正仿宋_GBK" w:cs="方正仿宋_GBK"/>
          <w:color w:val="auto"/>
          <w:sz w:val="32"/>
          <w:szCs w:val="32"/>
          <w:highlight w:val="none"/>
        </w:rPr>
        <w:t>含医院指定的配电房到项目</w:t>
      </w:r>
      <w:r>
        <w:rPr>
          <w:rFonts w:ascii="方正仿宋_GBK" w:hAnsi="方正仿宋_GBK" w:eastAsia="方正仿宋_GBK" w:cs="方正仿宋_GBK"/>
          <w:color w:val="auto"/>
          <w:sz w:val="32"/>
          <w:szCs w:val="32"/>
          <w:highlight w:val="none"/>
        </w:rPr>
        <w:t>和</w:t>
      </w:r>
      <w:r>
        <w:rPr>
          <w:rFonts w:hint="eastAsia" w:ascii="方正仿宋_GBK" w:hAnsi="方正仿宋_GBK" w:eastAsia="方正仿宋_GBK" w:cs="方正仿宋_GBK"/>
          <w:color w:val="auto"/>
          <w:sz w:val="32"/>
          <w:szCs w:val="32"/>
          <w:highlight w:val="none"/>
        </w:rPr>
        <w:t>设备的所有电缆及安装。费用</w:t>
      </w:r>
      <w:r>
        <w:rPr>
          <w:rFonts w:ascii="方正仿宋_GBK" w:hAnsi="方正仿宋_GBK" w:eastAsia="方正仿宋_GBK" w:cs="方正仿宋_GBK"/>
          <w:color w:val="auto"/>
          <w:sz w:val="32"/>
          <w:szCs w:val="32"/>
          <w:highlight w:val="none"/>
        </w:rPr>
        <w:t>包含在合同总价里面。</w:t>
      </w:r>
    </w:p>
    <w:p w14:paraId="64A435D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2.4</w:t>
      </w:r>
      <w:r>
        <w:rPr>
          <w:rFonts w:hint="eastAsia" w:ascii="方正仿宋_GBK" w:hAnsi="方正仿宋_GBK" w:eastAsia="方正仿宋_GBK" w:cs="方正仿宋_GBK"/>
          <w:color w:val="auto"/>
          <w:sz w:val="32"/>
          <w:szCs w:val="32"/>
          <w:highlight w:val="none"/>
        </w:rPr>
        <w:t>装修装饰及消防工程应满足设计、规范要求，现行的国家标准、行业标准、消防验收标准、工程所在地的地方性标准，以及相应的规范、并一次性验收合格。隐蔽工程需有采购人、监理人收方、初步验收签字后方可进入下一步工序。未经</w:t>
      </w:r>
      <w:r>
        <w:rPr>
          <w:rFonts w:ascii="方正仿宋_GBK" w:hAnsi="方正仿宋_GBK" w:eastAsia="方正仿宋_GBK" w:cs="方正仿宋_GBK"/>
          <w:color w:val="auto"/>
          <w:sz w:val="32"/>
          <w:szCs w:val="32"/>
          <w:highlight w:val="none"/>
        </w:rPr>
        <w:t>初验擅自</w:t>
      </w:r>
      <w:r>
        <w:rPr>
          <w:rFonts w:hint="eastAsia" w:ascii="方正仿宋_GBK" w:hAnsi="方正仿宋_GBK" w:eastAsia="方正仿宋_GBK" w:cs="方正仿宋_GBK"/>
          <w:color w:val="auto"/>
          <w:sz w:val="32"/>
          <w:szCs w:val="32"/>
          <w:highlight w:val="none"/>
        </w:rPr>
        <w:t>隐蔽</w:t>
      </w:r>
      <w:r>
        <w:rPr>
          <w:rFonts w:ascii="方正仿宋_GBK" w:hAnsi="方正仿宋_GBK" w:eastAsia="方正仿宋_GBK" w:cs="方正仿宋_GBK"/>
          <w:color w:val="auto"/>
          <w:sz w:val="32"/>
          <w:szCs w:val="32"/>
          <w:highlight w:val="none"/>
        </w:rPr>
        <w:t>施工，视为不合格工程，</w:t>
      </w:r>
      <w:r>
        <w:rPr>
          <w:rFonts w:hint="eastAsia" w:ascii="方正仿宋_GBK" w:hAnsi="方正仿宋_GBK" w:eastAsia="方正仿宋_GBK" w:cs="方正仿宋_GBK"/>
          <w:color w:val="auto"/>
          <w:sz w:val="32"/>
          <w:szCs w:val="32"/>
          <w:highlight w:val="none"/>
        </w:rPr>
        <w:t>投标人自行承担一切费用和责任。</w:t>
      </w:r>
    </w:p>
    <w:p w14:paraId="1F9FC942">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（二）最高限价、报价要求</w:t>
      </w:r>
    </w:p>
    <w:p w14:paraId="6E612A92">
      <w:pPr>
        <w:keepNext w:val="0"/>
        <w:keepLines w:val="0"/>
        <w:pageBreakBefore w:val="0"/>
        <w:kinsoku/>
        <w:wordWrap/>
        <w:overflowPunct/>
        <w:topLinePunct w:val="0"/>
        <w:autoSpaceDE/>
        <w:autoSpaceDN/>
        <w:bidi w:val="0"/>
        <w:adjustRightInd/>
        <w:snapToGrid w:val="0"/>
        <w:spacing w:line="594" w:lineRule="exact"/>
        <w:ind w:firstLine="643"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b/>
          <w:bCs/>
          <w:color w:val="auto"/>
          <w:sz w:val="32"/>
          <w:szCs w:val="32"/>
          <w:highlight w:val="none"/>
        </w:rPr>
        <w:t>1. 最高限价：</w:t>
      </w:r>
      <w:r>
        <w:rPr>
          <w:rFonts w:hint="eastAsia" w:ascii="方正仿宋_GBK" w:hAnsi="方正仿宋_GBK" w:eastAsia="方正仿宋_GBK" w:cs="方正仿宋_GBK"/>
          <w:b/>
          <w:bCs/>
          <w:color w:val="auto"/>
          <w:sz w:val="32"/>
          <w:szCs w:val="32"/>
          <w:highlight w:val="none"/>
          <w:lang w:val="en-US" w:eastAsia="zh-CN"/>
        </w:rPr>
        <w:t>3131</w:t>
      </w:r>
      <w:r>
        <w:rPr>
          <w:rFonts w:hint="eastAsia" w:ascii="方正仿宋_GBK" w:hAnsi="方正仿宋_GBK" w:eastAsia="方正仿宋_GBK" w:cs="方正仿宋_GBK"/>
          <w:b/>
          <w:bCs/>
          <w:color w:val="auto"/>
          <w:sz w:val="32"/>
          <w:szCs w:val="32"/>
          <w:highlight w:val="none"/>
        </w:rPr>
        <w:t>万元</w:t>
      </w:r>
      <w:r>
        <w:rPr>
          <w:rFonts w:ascii="方正仿宋_GBK" w:hAnsi="方正仿宋_GBK" w:eastAsia="方正仿宋_GBK" w:cs="方正仿宋_GBK"/>
          <w:b/>
          <w:bCs/>
          <w:color w:val="auto"/>
          <w:sz w:val="32"/>
          <w:szCs w:val="32"/>
          <w:highlight w:val="none"/>
        </w:rPr>
        <w:t>，</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b/>
          <w:bCs/>
          <w:color w:val="auto"/>
          <w:sz w:val="32"/>
          <w:szCs w:val="32"/>
          <w:highlight w:val="none"/>
        </w:rPr>
        <w:t>其中</w:t>
      </w:r>
      <w:r>
        <w:rPr>
          <w:rFonts w:hint="eastAsia" w:ascii="方正仿宋_GBK" w:hAnsi="方正仿宋_GBK" w:eastAsia="方正仿宋_GBK" w:cs="方正仿宋_GBK"/>
          <w:color w:val="auto"/>
          <w:sz w:val="32"/>
          <w:szCs w:val="32"/>
          <w:highlight w:val="none"/>
        </w:rPr>
        <w:t>设备限价2375万元，装修限价</w:t>
      </w:r>
      <w:r>
        <w:rPr>
          <w:rFonts w:hint="eastAsia" w:ascii="方正仿宋_GBK" w:hAnsi="方正仿宋_GBK" w:eastAsia="方正仿宋_GBK" w:cs="方正仿宋_GBK"/>
          <w:color w:val="auto"/>
          <w:sz w:val="32"/>
          <w:szCs w:val="32"/>
          <w:highlight w:val="none"/>
          <w:lang w:val="en-US" w:eastAsia="zh-CN"/>
        </w:rPr>
        <w:t>756</w:t>
      </w:r>
      <w:r>
        <w:rPr>
          <w:rFonts w:hint="eastAsia" w:ascii="方正仿宋_GBK" w:hAnsi="方正仿宋_GBK" w:eastAsia="方正仿宋_GBK" w:cs="方正仿宋_GBK"/>
          <w:color w:val="auto"/>
          <w:sz w:val="32"/>
          <w:szCs w:val="32"/>
          <w:highlight w:val="none"/>
        </w:rPr>
        <w:t>万元）。</w:t>
      </w:r>
    </w:p>
    <w:p w14:paraId="5043CFAE">
      <w:pPr>
        <w:keepNext w:val="0"/>
        <w:keepLines w:val="0"/>
        <w:pageBreakBefore w:val="0"/>
        <w:kinsoku/>
        <w:wordWrap/>
        <w:overflowPunct/>
        <w:topLinePunct w:val="0"/>
        <w:autoSpaceDE/>
        <w:autoSpaceDN/>
        <w:bidi w:val="0"/>
        <w:adjustRightInd/>
        <w:snapToGrid w:val="0"/>
        <w:spacing w:line="594" w:lineRule="exact"/>
        <w:ind w:firstLine="643" w:firstLineChars="200"/>
        <w:rPr>
          <w:rFonts w:ascii="方正仿宋_GBK" w:hAnsi="方正仿宋_GBK" w:eastAsia="方正仿宋_GBK" w:cs="方正仿宋_GBK"/>
          <w:b/>
          <w:bCs/>
          <w:color w:val="auto"/>
          <w:sz w:val="32"/>
          <w:szCs w:val="32"/>
          <w:highlight w:val="none"/>
        </w:rPr>
      </w:pPr>
      <w:r>
        <w:rPr>
          <w:rFonts w:hint="eastAsia" w:ascii="方正仿宋_GBK" w:hAnsi="方正仿宋_GBK" w:eastAsia="方正仿宋_GBK" w:cs="方正仿宋_GBK"/>
          <w:b/>
          <w:bCs/>
          <w:color w:val="auto"/>
          <w:sz w:val="32"/>
          <w:szCs w:val="32"/>
          <w:highlight w:val="none"/>
        </w:rPr>
        <w:t>2. 报价包括</w:t>
      </w:r>
    </w:p>
    <w:p w14:paraId="07207FA6">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（1）完成本项目所需的服务费、人工</w:t>
      </w:r>
      <w:bookmarkStart w:id="0" w:name="_GoBack"/>
      <w:bookmarkEnd w:id="0"/>
      <w:r>
        <w:rPr>
          <w:rFonts w:hint="eastAsia" w:ascii="方正仿宋_GBK" w:hAnsi="方正仿宋_GBK" w:eastAsia="方正仿宋_GBK" w:cs="方正仿宋_GBK"/>
          <w:color w:val="auto"/>
          <w:sz w:val="32"/>
          <w:szCs w:val="32"/>
          <w:highlight w:val="none"/>
        </w:rPr>
        <w:t>费、材料费，机具费及提供服务所需的设备或货物购买（制造）费、辅材费、运输费、垃圾清运、装卸费、安装调试费、检测、保险费、</w:t>
      </w:r>
      <w:r>
        <w:rPr>
          <w:rFonts w:ascii="方正仿宋_GBK" w:hAnsi="方正仿宋_GBK" w:eastAsia="方正仿宋_GBK" w:cs="方正仿宋_GBK"/>
          <w:color w:val="auto"/>
          <w:sz w:val="32"/>
          <w:szCs w:val="32"/>
          <w:highlight w:val="none"/>
        </w:rPr>
        <w:t>防辐射费用</w:t>
      </w:r>
      <w:r>
        <w:rPr>
          <w:rFonts w:hint="eastAsia" w:ascii="方正仿宋_GBK" w:hAnsi="方正仿宋_GBK" w:eastAsia="方正仿宋_GBK" w:cs="方正仿宋_GBK"/>
          <w:color w:val="auto"/>
          <w:sz w:val="32"/>
          <w:szCs w:val="32"/>
          <w:highlight w:val="none"/>
        </w:rPr>
        <w:t>、税费、培训费、协调配合费，水电使用费，施工用水电搭接费，竣工资料，仓储保管，质保维保、售后服务费，措施费，安全文明施工费及施工过程中产生的如开槽恢复、配管桥架开孔封堵及恢复、系统集成、系统检测、设备运行、设备调试，原有空调、水电</w:t>
      </w:r>
      <w:r>
        <w:rPr>
          <w:rFonts w:ascii="方正仿宋_GBK" w:hAnsi="方正仿宋_GBK" w:eastAsia="方正仿宋_GBK" w:cs="方正仿宋_GBK"/>
          <w:color w:val="auto"/>
          <w:sz w:val="32"/>
          <w:szCs w:val="32"/>
          <w:highlight w:val="none"/>
        </w:rPr>
        <w:t>、医用气体</w:t>
      </w:r>
      <w:r>
        <w:rPr>
          <w:rFonts w:hint="eastAsia" w:ascii="方正仿宋_GBK" w:hAnsi="方正仿宋_GBK" w:eastAsia="方正仿宋_GBK" w:cs="方正仿宋_GBK"/>
          <w:color w:val="auto"/>
          <w:sz w:val="32"/>
          <w:szCs w:val="32"/>
          <w:highlight w:val="none"/>
        </w:rPr>
        <w:t>的拆除与重新安装调试等所有费用；除合同另有约定外甲方不支付其他任何费用。中标单价为不变价，不因政策、市场、不可抗力或乙方自身原因而作任何调价、调差。</w:t>
      </w:r>
    </w:p>
    <w:p w14:paraId="5C52E19A">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（2）无论清单的项目特征和工作内容是描述准确或完全，其合同单价均包含完成该项设计图纸、图说、清单、规范的价格。在施工过程中，涉及可能减项、减量的以实际核定量为准。涉及</w:t>
      </w:r>
      <w:r>
        <w:rPr>
          <w:rFonts w:ascii="方正仿宋_GBK" w:hAnsi="方正仿宋_GBK" w:eastAsia="方正仿宋_GBK" w:cs="方正仿宋_GBK"/>
          <w:color w:val="auto"/>
          <w:sz w:val="32"/>
          <w:szCs w:val="32"/>
          <w:highlight w:val="none"/>
        </w:rPr>
        <w:t>可能增项</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增量的以投标</w:t>
      </w:r>
      <w:r>
        <w:rPr>
          <w:rFonts w:hint="eastAsia" w:ascii="方正仿宋_GBK" w:hAnsi="方正仿宋_GBK" w:eastAsia="方正仿宋_GBK" w:cs="方正仿宋_GBK"/>
          <w:color w:val="auto"/>
          <w:sz w:val="32"/>
          <w:szCs w:val="32"/>
          <w:highlight w:val="none"/>
        </w:rPr>
        <w:t>人</w:t>
      </w:r>
      <w:r>
        <w:rPr>
          <w:rFonts w:ascii="方正仿宋_GBK" w:hAnsi="方正仿宋_GBK" w:eastAsia="方正仿宋_GBK" w:cs="方正仿宋_GBK"/>
          <w:color w:val="auto"/>
          <w:sz w:val="32"/>
          <w:szCs w:val="32"/>
          <w:highlight w:val="none"/>
        </w:rPr>
        <w:t>报</w:t>
      </w:r>
      <w:r>
        <w:rPr>
          <w:rFonts w:hint="eastAsia" w:ascii="方正仿宋_GBK" w:hAnsi="方正仿宋_GBK" w:eastAsia="方正仿宋_GBK" w:cs="方正仿宋_GBK"/>
          <w:color w:val="auto"/>
          <w:sz w:val="32"/>
          <w:szCs w:val="32"/>
          <w:highlight w:val="none"/>
        </w:rPr>
        <w:t>采购</w:t>
      </w:r>
      <w:r>
        <w:rPr>
          <w:rFonts w:ascii="方正仿宋_GBK" w:hAnsi="方正仿宋_GBK" w:eastAsia="方正仿宋_GBK" w:cs="方正仿宋_GBK"/>
          <w:color w:val="auto"/>
          <w:sz w:val="32"/>
          <w:szCs w:val="32"/>
          <w:highlight w:val="none"/>
        </w:rPr>
        <w:t>人审核为准</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但不能超过合同总价</w:t>
      </w:r>
      <w:r>
        <w:rPr>
          <w:rFonts w:hint="eastAsia" w:ascii="方正仿宋_GBK" w:hAnsi="方正仿宋_GBK" w:eastAsia="方正仿宋_GBK" w:cs="方正仿宋_GBK"/>
          <w:color w:val="auto"/>
          <w:sz w:val="32"/>
          <w:szCs w:val="32"/>
          <w:highlight w:val="none"/>
        </w:rPr>
        <w:t>。</w:t>
      </w:r>
    </w:p>
    <w:p w14:paraId="611DD12B">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rPr>
        <w:t>）室内外天地墙的装饰施工、室内外水电联动、安装、消防、</w:t>
      </w:r>
      <w:r>
        <w:rPr>
          <w:rFonts w:ascii="方正仿宋_GBK" w:hAnsi="方正仿宋_GBK" w:eastAsia="方正仿宋_GBK" w:cs="方正仿宋_GBK"/>
          <w:color w:val="auto"/>
          <w:sz w:val="32"/>
          <w:szCs w:val="32"/>
          <w:highlight w:val="none"/>
        </w:rPr>
        <w:t>空调、医疗气体</w:t>
      </w:r>
      <w:r>
        <w:rPr>
          <w:rFonts w:hint="eastAsia" w:ascii="方正仿宋_GBK" w:hAnsi="方正仿宋_GBK" w:eastAsia="方正仿宋_GBK" w:cs="方正仿宋_GBK"/>
          <w:color w:val="auto"/>
          <w:sz w:val="32"/>
          <w:szCs w:val="32"/>
          <w:highlight w:val="none"/>
        </w:rPr>
        <w:t>等配套工程的建设、防辐射施工、智能化系统施工、土建整改、结构工程</w:t>
      </w:r>
      <w:r>
        <w:rPr>
          <w:rFonts w:ascii="方正仿宋_GBK" w:hAnsi="方正仿宋_GBK" w:eastAsia="方正仿宋_GBK" w:cs="方正仿宋_GBK"/>
          <w:color w:val="auto"/>
          <w:sz w:val="32"/>
          <w:szCs w:val="32"/>
          <w:highlight w:val="none"/>
        </w:rPr>
        <w:t>、加固</w:t>
      </w:r>
      <w:r>
        <w:rPr>
          <w:rFonts w:hint="eastAsia" w:ascii="方正仿宋_GBK" w:hAnsi="方正仿宋_GBK" w:eastAsia="方正仿宋_GBK" w:cs="方正仿宋_GBK"/>
          <w:color w:val="auto"/>
          <w:sz w:val="32"/>
          <w:szCs w:val="32"/>
          <w:highlight w:val="none"/>
        </w:rPr>
        <w:t>工程，原有安装工程的整改、拆除与恢复等，详见施工图、图说、招标清单。</w:t>
      </w:r>
    </w:p>
    <w:p w14:paraId="71787B36">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rPr>
        <w:t>）包含4人次人才医务人员3个月内的短期培训费用。</w:t>
      </w:r>
    </w:p>
    <w:p w14:paraId="5C48D74D">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5</w:t>
      </w:r>
      <w:r>
        <w:rPr>
          <w:rFonts w:hint="eastAsia" w:ascii="方正仿宋_GBK" w:hAnsi="方正仿宋_GBK" w:eastAsia="方正仿宋_GBK" w:cs="方正仿宋_GBK"/>
          <w:color w:val="auto"/>
          <w:sz w:val="32"/>
          <w:szCs w:val="32"/>
          <w:highlight w:val="none"/>
        </w:rPr>
        <w:t>）本项目</w:t>
      </w:r>
      <w:r>
        <w:rPr>
          <w:rFonts w:hint="eastAsia" w:ascii="方正仿宋_GBK" w:hAnsi="方正仿宋_GBK" w:eastAsia="方正仿宋_GBK" w:cs="方正仿宋_GBK"/>
          <w:color w:val="auto"/>
          <w:sz w:val="32"/>
          <w:szCs w:val="32"/>
          <w:highlight w:val="none"/>
          <w:lang w:val="en-US" w:eastAsia="zh-CN"/>
        </w:rPr>
        <w:t>涉及所有检测费用由中标人承担，包括但不限于放辐射、设备性能、工程类等本项目所涉及到的全部检测，检测项目需符合国家强制性标准</w:t>
      </w:r>
      <w:r>
        <w:rPr>
          <w:rFonts w:hint="eastAsia" w:ascii="方正仿宋_GBK" w:hAnsi="方正仿宋_GBK" w:eastAsia="方正仿宋_GBK" w:cs="方正仿宋_GBK"/>
          <w:color w:val="auto"/>
          <w:sz w:val="32"/>
          <w:szCs w:val="32"/>
          <w:highlight w:val="none"/>
        </w:rPr>
        <w:t>。</w:t>
      </w:r>
    </w:p>
    <w:p w14:paraId="084A8596">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（三）质量保证及售后服务</w:t>
      </w:r>
    </w:p>
    <w:p w14:paraId="2DF38BEF">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 自验收合格之日起，工程类</w:t>
      </w:r>
      <w:r>
        <w:rPr>
          <w:rFonts w:ascii="方正仿宋_GBK" w:hAnsi="方正仿宋_GBK" w:eastAsia="方正仿宋_GBK" w:cs="方正仿宋_GBK"/>
          <w:color w:val="auto"/>
          <w:sz w:val="32"/>
          <w:szCs w:val="32"/>
          <w:highlight w:val="none"/>
        </w:rPr>
        <w:t>和</w:t>
      </w:r>
      <w:r>
        <w:rPr>
          <w:rFonts w:hint="eastAsia" w:ascii="方正仿宋_GBK" w:hAnsi="方正仿宋_GBK" w:eastAsia="方正仿宋_GBK" w:cs="方正仿宋_GBK"/>
          <w:color w:val="auto"/>
          <w:sz w:val="32"/>
          <w:szCs w:val="32"/>
          <w:highlight w:val="none"/>
        </w:rPr>
        <w:t>其响应设备整机（含第三方产品）质量保证期、维保期不低于3年，</w:t>
      </w:r>
      <w:r>
        <w:rPr>
          <w:rFonts w:ascii="方正仿宋_GBK" w:hAnsi="方正仿宋_GBK" w:eastAsia="方正仿宋_GBK" w:cs="方正仿宋_GBK"/>
          <w:color w:val="auto"/>
          <w:sz w:val="32"/>
          <w:szCs w:val="32"/>
          <w:highlight w:val="none"/>
        </w:rPr>
        <w:t>防水</w:t>
      </w:r>
      <w:r>
        <w:rPr>
          <w:rFonts w:hint="eastAsia" w:ascii="方正仿宋_GBK" w:hAnsi="方正仿宋_GBK" w:eastAsia="方正仿宋_GBK" w:cs="方正仿宋_GBK"/>
          <w:color w:val="auto"/>
          <w:sz w:val="32"/>
          <w:szCs w:val="32"/>
          <w:highlight w:val="none"/>
        </w:rPr>
        <w:t>质量保证期不低于5年。，并由</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出具售后服务承诺函。每季度到设备现场维护保养一次，并填写设备维保记录，维保记录必须由使用科室和医学装备科相关人员签字确认，质量保证期、维保期完，还需完成本服务期的各项评价；缺少维保记录和服务评价(含年度维保评价</w:t>
      </w:r>
      <w:r>
        <w:rPr>
          <w:rFonts w:hint="eastAsia" w:eastAsia="方正仿宋_GBK" w:cs="方正仿宋_GBK"/>
          <w:color w:val="auto"/>
          <w:sz w:val="32"/>
          <w:szCs w:val="32"/>
          <w:highlight w:val="none"/>
        </w:rPr>
        <w:t>、质控评价，年度装订成册</w:t>
      </w:r>
      <w:r>
        <w:rPr>
          <w:rFonts w:hint="eastAsia" w:ascii="方正仿宋_GBK" w:hAnsi="方正仿宋_GBK" w:eastAsia="方正仿宋_GBK" w:cs="方正仿宋_GBK"/>
          <w:color w:val="auto"/>
          <w:sz w:val="32"/>
          <w:szCs w:val="32"/>
          <w:highlight w:val="none"/>
        </w:rPr>
        <w:t>)，全额扣除应支付款项。质保期、维保期内，在接到用户要求对所购设备进行维修的通知后，应立即给予答复，并派合格的维修工程师到达用户现场进行维修。免费更换一切在正常情况下损坏的零配件，在质保期内，如果</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和制造商的产品技术升级，</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应及时通知采购人，如采购人有相应要求，</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和制造商应对采购人购买的产品进行升级服务。</w:t>
      </w:r>
    </w:p>
    <w:p w14:paraId="734C0B64">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 质保期内设备完好率应不低于95％</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即每年停机天数不超过18天）</w:t>
      </w:r>
      <w:r>
        <w:rPr>
          <w:rFonts w:hint="eastAsia" w:ascii="方正仿宋_GBK" w:hAnsi="方正仿宋_GBK" w:eastAsia="方正仿宋_GBK" w:cs="方正仿宋_GBK"/>
          <w:color w:val="auto"/>
          <w:sz w:val="32"/>
          <w:szCs w:val="32"/>
          <w:highlight w:val="none"/>
        </w:rPr>
        <w:t>，如完好率低于95%，则按1：1</w:t>
      </w:r>
      <w:r>
        <w:rPr>
          <w:rFonts w:ascii="方正仿宋_GBK" w:hAnsi="方正仿宋_GBK" w:eastAsia="方正仿宋_GBK" w:cs="方正仿宋_GBK"/>
          <w:color w:val="auto"/>
          <w:sz w:val="32"/>
          <w:szCs w:val="32"/>
          <w:highlight w:val="none"/>
        </w:rPr>
        <w:t>0</w:t>
      </w:r>
      <w:r>
        <w:rPr>
          <w:rFonts w:hint="eastAsia" w:ascii="方正仿宋_GBK" w:hAnsi="方正仿宋_GBK" w:eastAsia="方正仿宋_GBK" w:cs="方正仿宋_GBK"/>
          <w:color w:val="auto"/>
          <w:sz w:val="32"/>
          <w:szCs w:val="32"/>
          <w:highlight w:val="none"/>
        </w:rPr>
        <w:t>天数顺延保修期</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同时中标人需按2000元/天缴纳违约金</w:t>
      </w:r>
      <w:r>
        <w:rPr>
          <w:rFonts w:hint="eastAsia" w:ascii="方正仿宋_GBK" w:hAnsi="方正仿宋_GBK" w:eastAsia="方正仿宋_GBK" w:cs="方正仿宋_GBK"/>
          <w:color w:val="auto"/>
          <w:sz w:val="32"/>
          <w:szCs w:val="32"/>
          <w:highlight w:val="none"/>
        </w:rPr>
        <w:t>。</w:t>
      </w:r>
    </w:p>
    <w:p w14:paraId="475DE4AD">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 采购人遇到使用技术，</w:t>
      </w:r>
      <w:r>
        <w:rPr>
          <w:rFonts w:hint="eastAsia" w:ascii="方正仿宋_GBK" w:hAnsi="方正仿宋_GBK" w:eastAsia="方正仿宋_GBK" w:cs="方正仿宋_GBK"/>
          <w:color w:val="auto"/>
          <w:sz w:val="32"/>
          <w:szCs w:val="32"/>
          <w:highlight w:val="none"/>
          <w:lang w:val="en-US" w:eastAsia="zh-CN"/>
        </w:rPr>
        <w:t>设备</w:t>
      </w:r>
      <w:r>
        <w:rPr>
          <w:rFonts w:hint="eastAsia" w:ascii="方正仿宋_GBK" w:hAnsi="方正仿宋_GBK" w:eastAsia="方正仿宋_GBK" w:cs="方正仿宋_GBK"/>
          <w:color w:val="auto"/>
          <w:sz w:val="32"/>
          <w:szCs w:val="32"/>
          <w:highlight w:val="none"/>
        </w:rPr>
        <w:t>维修问题，</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或制造商应在2小时内响应，电话不能咨询解决的，</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或制造商应在24小时到达现场进行处理，48小时内给出解决方案</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中标人需派专人负责装饰维修问题，若水电、空调等出现故障，</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应在</w:t>
      </w:r>
      <w:r>
        <w:rPr>
          <w:rFonts w:hint="eastAsia" w:ascii="方正仿宋_GBK" w:hAnsi="方正仿宋_GBK" w:eastAsia="方正仿宋_GBK" w:cs="方正仿宋_GBK"/>
          <w:color w:val="auto"/>
          <w:sz w:val="32"/>
          <w:szCs w:val="32"/>
          <w:highlight w:val="none"/>
          <w:lang w:val="en-US" w:eastAsia="zh-CN"/>
        </w:rPr>
        <w:t>15分钟</w:t>
      </w:r>
      <w:r>
        <w:rPr>
          <w:rFonts w:hint="eastAsia" w:ascii="方正仿宋_GBK" w:hAnsi="方正仿宋_GBK" w:eastAsia="方正仿宋_GBK" w:cs="方正仿宋_GBK"/>
          <w:color w:val="auto"/>
          <w:sz w:val="32"/>
          <w:szCs w:val="32"/>
          <w:highlight w:val="none"/>
        </w:rPr>
        <w:t>内响应，</w:t>
      </w:r>
      <w:r>
        <w:rPr>
          <w:rFonts w:hint="eastAsia" w:ascii="方正仿宋_GBK" w:hAnsi="方正仿宋_GBK" w:eastAsia="方正仿宋_GBK" w:cs="方正仿宋_GBK"/>
          <w:color w:val="auto"/>
          <w:sz w:val="32"/>
          <w:szCs w:val="32"/>
          <w:highlight w:val="none"/>
          <w:lang w:val="en-US" w:eastAsia="zh-CN"/>
        </w:rPr>
        <w:t>30分钟</w:t>
      </w:r>
      <w:r>
        <w:rPr>
          <w:rFonts w:hint="eastAsia" w:ascii="方正仿宋_GBK" w:hAnsi="方正仿宋_GBK" w:eastAsia="方正仿宋_GBK" w:cs="方正仿宋_GBK"/>
          <w:color w:val="auto"/>
          <w:sz w:val="32"/>
          <w:szCs w:val="32"/>
          <w:highlight w:val="none"/>
        </w:rPr>
        <w:t>到达现场进行处理。</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或制造商未按时对</w:t>
      </w:r>
      <w:r>
        <w:rPr>
          <w:rFonts w:hint="eastAsia" w:ascii="方正仿宋_GBK" w:hAnsi="方正仿宋_GBK" w:eastAsia="方正仿宋_GBK" w:cs="方正仿宋_GBK"/>
          <w:color w:val="auto"/>
          <w:sz w:val="32"/>
          <w:szCs w:val="32"/>
          <w:highlight w:val="none"/>
          <w:lang w:val="en-US" w:eastAsia="zh-CN"/>
        </w:rPr>
        <w:t>本项目</w:t>
      </w:r>
      <w:r>
        <w:rPr>
          <w:rFonts w:hint="eastAsia" w:ascii="方正仿宋_GBK" w:hAnsi="方正仿宋_GBK" w:eastAsia="方正仿宋_GBK" w:cs="方正仿宋_GBK"/>
          <w:color w:val="auto"/>
          <w:sz w:val="32"/>
          <w:szCs w:val="32"/>
          <w:highlight w:val="none"/>
        </w:rPr>
        <w:t>进行维保或解除故障，采购人有权自行委托第三方进行处理，所产生的费用从应支款项中扣除并处违约金1000元/次。且不免除</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或制造商的维保、质保责任。</w:t>
      </w:r>
    </w:p>
    <w:p w14:paraId="781AA985">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 质保期内和质保期外如遇该设备软件升级，</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及制造商应根据采购人需求提供免费升级。</w:t>
      </w:r>
    </w:p>
    <w:p w14:paraId="31E64A01">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 质量保证期外，遇到使用及技术问题，电话咨询不能解决的，采购人需要继续原</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和制造商提供售后服务的，该</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和制造商应以优惠价格提供售后服务，负责设备的免费维修（只收材料费）和终身维护、设备零配件的及时供应，先维修后支付零配件费用。</w:t>
      </w:r>
    </w:p>
    <w:p w14:paraId="6AB1D769">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（四）付款方式</w:t>
      </w:r>
    </w:p>
    <w:p w14:paraId="43A1C92F">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w:t>
      </w:r>
      <w:r>
        <w:rPr>
          <w:rFonts w:ascii="方正仿宋_GBK" w:hAnsi="方正仿宋_GBK" w:eastAsia="方正仿宋_GBK" w:cs="方正仿宋_GBK"/>
          <w:color w:val="auto"/>
          <w:sz w:val="32"/>
          <w:szCs w:val="32"/>
          <w:highlight w:val="none"/>
        </w:rPr>
        <w:t xml:space="preserve">. </w:t>
      </w:r>
      <w:r>
        <w:rPr>
          <w:rFonts w:hint="eastAsia" w:ascii="方正仿宋_GBK" w:hAnsi="方正仿宋_GBK" w:eastAsia="方正仿宋_GBK" w:cs="方正仿宋_GBK"/>
          <w:color w:val="auto"/>
          <w:sz w:val="32"/>
          <w:szCs w:val="32"/>
          <w:highlight w:val="none"/>
        </w:rPr>
        <w:t>合同签订时</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向采购人缴纳合同总金额的10%（保函、汇票均可）作为履约保证金，</w:t>
      </w:r>
      <w:r>
        <w:rPr>
          <w:rFonts w:hint="eastAsia" w:ascii="方正仿宋_GBK" w:eastAsia="方正仿宋_GBK"/>
          <w:color w:val="auto"/>
          <w:sz w:val="32"/>
          <w:szCs w:val="32"/>
          <w:highlight w:val="none"/>
        </w:rPr>
        <w:t>保函出具担保方须满足《重庆市财政局关于开展政府采购保函业务的通知》（渝财采购〔2023〕7号）。履约保证金的退还按照渝财采购〔2021〕13号规定执行</w:t>
      </w:r>
      <w:r>
        <w:rPr>
          <w:rFonts w:hint="eastAsia" w:ascii="方正仿宋_GBK" w:hAnsi="方正仿宋_GBK" w:eastAsia="方正仿宋_GBK" w:cs="方正仿宋_GBK"/>
          <w:color w:val="auto"/>
          <w:sz w:val="32"/>
          <w:szCs w:val="32"/>
          <w:highlight w:val="none"/>
        </w:rPr>
        <w:t>；</w:t>
      </w:r>
    </w:p>
    <w:p w14:paraId="38E2CFC5">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w:t>
      </w:r>
      <w:r>
        <w:rPr>
          <w:rFonts w:ascii="方正仿宋_GBK" w:hAnsi="方正仿宋_GBK" w:eastAsia="方正仿宋_GBK" w:cs="方正仿宋_GBK"/>
          <w:color w:val="auto"/>
          <w:sz w:val="32"/>
          <w:szCs w:val="32"/>
          <w:highlight w:val="none"/>
        </w:rPr>
        <w:t xml:space="preserve">. </w:t>
      </w:r>
      <w:r>
        <w:rPr>
          <w:rFonts w:hint="eastAsia" w:ascii="方正仿宋_GBK" w:hAnsi="方正仿宋_GBK" w:eastAsia="方正仿宋_GBK" w:cs="方正仿宋_GBK"/>
          <w:color w:val="auto"/>
          <w:sz w:val="32"/>
          <w:szCs w:val="32"/>
          <w:highlight w:val="none"/>
        </w:rPr>
        <w:t>本项目支付办法及比例：</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一</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工程类按月支付进度款，支付当月完成合格工程量的70%（含完成工程量25%的民工工资），验收合格且经过第三方审计后支付至90%，余款验收合格满3年后支付；</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二</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医疗设备全部到货且经初步验收后支付医疗设备类合同金额的50%，验收合格后支付至90%，余款验收合格满3年后支付。</w:t>
      </w:r>
    </w:p>
    <w:p w14:paraId="6F6944EA">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rPr>
        <w:t>工程和设备验收合格后，中标人提供开箱证明、验收报告、合同、培训资料、发票、技术资料、材料合格证、竣工图（含电子版）、第三方检测检测报告、签证资料、隐蔽工程（含防水、管沟、结构加固、钢构焊接等）施工现场事前、中、后图片（工程全景）等资料并整理汇编装订成册的完工资料、财务对账单，支付完结民工工资及材料款的佐证资料等所有资料后支付；</w:t>
      </w:r>
    </w:p>
    <w:p w14:paraId="7FFAEC9D">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 xml:space="preserve">4. </w:t>
      </w:r>
      <w:r>
        <w:rPr>
          <w:rFonts w:hint="eastAsia" w:ascii="方正仿宋_GBK" w:hAnsi="方正仿宋_GBK" w:eastAsia="方正仿宋_GBK" w:cs="方正仿宋_GBK"/>
          <w:color w:val="auto"/>
          <w:sz w:val="32"/>
          <w:szCs w:val="32"/>
          <w:highlight w:val="none"/>
        </w:rPr>
        <w:t>项目完成第三方审计结算同时验收合格满3年后</w:t>
      </w:r>
      <w:r>
        <w:rPr>
          <w:rFonts w:ascii="方正仿宋_GBK" w:hAnsi="方正仿宋_GBK" w:eastAsia="方正仿宋_GBK" w:cs="方正仿宋_GBK"/>
          <w:color w:val="auto"/>
          <w:sz w:val="32"/>
          <w:szCs w:val="32"/>
          <w:highlight w:val="none"/>
        </w:rPr>
        <w:t>支付尾款</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 xml:space="preserve"> </w:t>
      </w:r>
    </w:p>
    <w:p w14:paraId="1BD146EB">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5</w:t>
      </w:r>
      <w:r>
        <w:rPr>
          <w:rFonts w:hint="eastAsia" w:ascii="方正仿宋_GBK" w:hAnsi="方正仿宋_GBK" w:eastAsia="方正仿宋_GBK" w:cs="方正仿宋_GBK"/>
          <w:color w:val="auto"/>
          <w:sz w:val="32"/>
          <w:szCs w:val="32"/>
          <w:highlight w:val="none"/>
        </w:rPr>
        <w:t xml:space="preserve">. </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 xml:space="preserve">填写支付申请，提供清单、发票等，经过监理单位、采购人审核后按采购人财务审签制度审签后支付。 </w:t>
      </w:r>
    </w:p>
    <w:p w14:paraId="7DBC5EBD">
      <w:pPr>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 xml:space="preserve">6. </w:t>
      </w:r>
      <w:r>
        <w:rPr>
          <w:rFonts w:hint="eastAsia" w:ascii="方正仿宋_GBK" w:hAnsi="方正仿宋_GBK" w:eastAsia="方正仿宋_GBK" w:cs="方正仿宋_GBK"/>
          <w:color w:val="auto"/>
          <w:sz w:val="32"/>
          <w:szCs w:val="32"/>
          <w:highlight w:val="none"/>
        </w:rPr>
        <w:t>甲、乙双方或乙方与第三方如有纠纷或诉讼未结时暂停支付款项（包括履约保证金）。</w:t>
      </w:r>
    </w:p>
    <w:p w14:paraId="09D06F59">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cs="宋体"/>
          <w:color w:val="auto"/>
          <w:szCs w:val="22"/>
          <w:highlight w:val="none"/>
        </w:rPr>
      </w:pPr>
      <w:r>
        <w:rPr>
          <w:rFonts w:hint="eastAsia" w:ascii="方正楷体_GBK" w:hAnsi="方正楷体_GBK" w:eastAsia="方正楷体_GBK" w:cs="方正楷体_GBK"/>
          <w:color w:val="auto"/>
          <w:sz w:val="32"/>
          <w:szCs w:val="32"/>
          <w:highlight w:val="none"/>
        </w:rPr>
        <w:t>（五）工程类规格、数量及质量要求</w:t>
      </w:r>
    </w:p>
    <w:p w14:paraId="1C4C656D">
      <w:pPr>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1. 土建、装饰、安装等工程技术要求满足设计图纸、</w:t>
      </w:r>
      <w:r>
        <w:rPr>
          <w:rFonts w:ascii="方正仿宋_GBK" w:hAnsi="方正仿宋_GBK" w:eastAsia="方正仿宋_GBK" w:cs="方正仿宋_GBK"/>
          <w:color w:val="auto"/>
          <w:sz w:val="32"/>
          <w:szCs w:val="32"/>
          <w:highlight w:val="none"/>
        </w:rPr>
        <w:t>清单</w:t>
      </w:r>
      <w:r>
        <w:rPr>
          <w:rFonts w:hint="eastAsia" w:ascii="方正仿宋_GBK" w:hAnsi="方正仿宋_GBK" w:eastAsia="方正仿宋_GBK" w:cs="方正仿宋_GBK"/>
          <w:color w:val="auto"/>
          <w:sz w:val="32"/>
          <w:szCs w:val="32"/>
          <w:highlight w:val="none"/>
        </w:rPr>
        <w:t>、规范、现行国家标准验收要求，</w:t>
      </w:r>
      <w:r>
        <w:rPr>
          <w:rFonts w:ascii="方正仿宋_GBK" w:hAnsi="方正仿宋_GBK" w:eastAsia="方正仿宋_GBK" w:cs="方正仿宋_GBK"/>
          <w:color w:val="auto"/>
          <w:sz w:val="32"/>
          <w:szCs w:val="32"/>
          <w:highlight w:val="none"/>
        </w:rPr>
        <w:t>防辐射等专业</w:t>
      </w:r>
      <w:r>
        <w:rPr>
          <w:rFonts w:hint="eastAsia" w:ascii="方正仿宋_GBK" w:hAnsi="方正仿宋_GBK" w:eastAsia="方正仿宋_GBK" w:cs="方正仿宋_GBK"/>
          <w:color w:val="auto"/>
          <w:sz w:val="32"/>
          <w:szCs w:val="32"/>
          <w:highlight w:val="none"/>
        </w:rPr>
        <w:t>必须</w:t>
      </w:r>
      <w:r>
        <w:rPr>
          <w:rFonts w:ascii="方正仿宋_GBK" w:hAnsi="方正仿宋_GBK" w:eastAsia="方正仿宋_GBK" w:cs="方正仿宋_GBK"/>
          <w:color w:val="auto"/>
          <w:sz w:val="32"/>
          <w:szCs w:val="32"/>
          <w:highlight w:val="none"/>
        </w:rPr>
        <w:t>取得第三方检测报告</w:t>
      </w:r>
      <w:r>
        <w:rPr>
          <w:rFonts w:hint="eastAsia" w:ascii="方正仿宋_GBK" w:hAnsi="方正仿宋_GBK" w:eastAsia="方正仿宋_GBK" w:cs="方正仿宋_GBK"/>
          <w:color w:val="auto"/>
          <w:sz w:val="32"/>
          <w:szCs w:val="32"/>
          <w:highlight w:val="none"/>
          <w:lang w:eastAsia="zh-CN"/>
        </w:rPr>
        <w:t>。</w:t>
      </w:r>
    </w:p>
    <w:p w14:paraId="39DBD400">
      <w:pPr>
        <w:pStyle w:val="3"/>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2.该项目涉及</w:t>
      </w:r>
      <w:r>
        <w:rPr>
          <w:rFonts w:ascii="方正仿宋_GBK" w:hAnsi="方正仿宋_GBK" w:eastAsia="方正仿宋_GBK" w:cs="方正仿宋_GBK"/>
          <w:color w:val="auto"/>
          <w:sz w:val="32"/>
          <w:szCs w:val="32"/>
          <w:highlight w:val="none"/>
        </w:rPr>
        <w:t>防辐射处理、</w:t>
      </w:r>
      <w:r>
        <w:rPr>
          <w:rFonts w:hint="eastAsia" w:ascii="方正仿宋_GBK" w:hAnsi="方正仿宋_GBK" w:eastAsia="方正仿宋_GBK" w:cs="方正仿宋_GBK"/>
          <w:color w:val="auto"/>
          <w:sz w:val="32"/>
          <w:szCs w:val="32"/>
          <w:highlight w:val="none"/>
        </w:rPr>
        <w:t>医疗气体</w:t>
      </w:r>
      <w:r>
        <w:rPr>
          <w:rFonts w:ascii="方正仿宋_GBK" w:hAnsi="方正仿宋_GBK" w:eastAsia="方正仿宋_GBK" w:cs="方正仿宋_GBK"/>
          <w:color w:val="auto"/>
          <w:sz w:val="32"/>
          <w:szCs w:val="32"/>
          <w:highlight w:val="none"/>
        </w:rPr>
        <w:t>管道安装</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设备安装</w:t>
      </w:r>
      <w:r>
        <w:rPr>
          <w:rFonts w:hint="eastAsia" w:ascii="方正仿宋_GBK" w:hAnsi="方正仿宋_GBK" w:eastAsia="方正仿宋_GBK" w:cs="方正仿宋_GBK"/>
          <w:color w:val="auto"/>
          <w:sz w:val="32"/>
          <w:szCs w:val="32"/>
          <w:highlight w:val="none"/>
        </w:rPr>
        <w:t>等</w:t>
      </w:r>
      <w:r>
        <w:rPr>
          <w:rFonts w:ascii="方正仿宋_GBK" w:hAnsi="方正仿宋_GBK" w:eastAsia="方正仿宋_GBK" w:cs="方正仿宋_GBK"/>
          <w:color w:val="auto"/>
          <w:sz w:val="32"/>
          <w:szCs w:val="32"/>
          <w:highlight w:val="none"/>
        </w:rPr>
        <w:t>专业工作，</w:t>
      </w:r>
      <w:r>
        <w:rPr>
          <w:rFonts w:hint="eastAsia" w:ascii="方正仿宋_GBK" w:hAnsi="方正仿宋_GBK" w:eastAsia="方正仿宋_GBK" w:cs="方正仿宋_GBK"/>
          <w:color w:val="auto"/>
          <w:sz w:val="32"/>
          <w:szCs w:val="32"/>
          <w:highlight w:val="none"/>
        </w:rPr>
        <w:t>供应商必须保证项目完工</w:t>
      </w:r>
      <w:r>
        <w:rPr>
          <w:rFonts w:ascii="方正仿宋_GBK" w:hAnsi="方正仿宋_GBK" w:eastAsia="方正仿宋_GBK" w:cs="方正仿宋_GBK"/>
          <w:color w:val="auto"/>
          <w:sz w:val="32"/>
          <w:szCs w:val="32"/>
          <w:highlight w:val="none"/>
        </w:rPr>
        <w:t>后，医疗设备运行正常，</w:t>
      </w:r>
      <w:r>
        <w:rPr>
          <w:rFonts w:hint="eastAsia" w:ascii="方正仿宋_GBK" w:hAnsi="方正仿宋_GBK" w:eastAsia="方正仿宋_GBK" w:cs="方正仿宋_GBK"/>
          <w:color w:val="auto"/>
          <w:sz w:val="32"/>
          <w:szCs w:val="32"/>
          <w:highlight w:val="none"/>
        </w:rPr>
        <w:t>气体</w:t>
      </w:r>
      <w:r>
        <w:rPr>
          <w:rFonts w:ascii="方正仿宋_GBK" w:hAnsi="方正仿宋_GBK" w:eastAsia="方正仿宋_GBK" w:cs="方正仿宋_GBK"/>
          <w:color w:val="auto"/>
          <w:sz w:val="32"/>
          <w:szCs w:val="32"/>
          <w:highlight w:val="none"/>
        </w:rPr>
        <w:t>管道运行正常</w:t>
      </w:r>
      <w:r>
        <w:rPr>
          <w:rFonts w:hint="eastAsia" w:ascii="方正仿宋_GBK" w:hAnsi="方正仿宋_GBK" w:eastAsia="方正仿宋_GBK" w:cs="方正仿宋_GBK"/>
          <w:color w:val="auto"/>
          <w:sz w:val="32"/>
          <w:szCs w:val="32"/>
          <w:highlight w:val="none"/>
        </w:rPr>
        <w:t>。取得防辐射相关</w:t>
      </w:r>
      <w:r>
        <w:rPr>
          <w:rFonts w:ascii="方正仿宋_GBK" w:hAnsi="方正仿宋_GBK" w:eastAsia="方正仿宋_GBK" w:cs="方正仿宋_GBK"/>
          <w:color w:val="auto"/>
          <w:sz w:val="32"/>
          <w:szCs w:val="32"/>
          <w:highlight w:val="none"/>
        </w:rPr>
        <w:t>合格证明</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取得预控评相关合格证明</w:t>
      </w:r>
      <w:r>
        <w:rPr>
          <w:rFonts w:hint="eastAsia" w:ascii="方正仿宋_GBK" w:hAnsi="方正仿宋_GBK" w:eastAsia="方正仿宋_GBK" w:cs="方正仿宋_GBK"/>
          <w:color w:val="auto"/>
          <w:sz w:val="32"/>
          <w:szCs w:val="32"/>
          <w:highlight w:val="none"/>
        </w:rPr>
        <w:t>（职业病危害放射防护预评价、职业病危害控制效果放射防护评价及对现场情况审查）</w:t>
      </w:r>
      <w:r>
        <w:rPr>
          <w:rFonts w:ascii="方正仿宋_GBK" w:hAnsi="方正仿宋_GBK" w:eastAsia="方正仿宋_GBK" w:cs="方正仿宋_GBK"/>
          <w:color w:val="auto"/>
          <w:sz w:val="32"/>
          <w:szCs w:val="32"/>
          <w:highlight w:val="none"/>
        </w:rPr>
        <w:t>等</w:t>
      </w:r>
      <w:r>
        <w:rPr>
          <w:rFonts w:hint="eastAsia" w:ascii="方正仿宋_GBK" w:hAnsi="方正仿宋_GBK" w:eastAsia="方正仿宋_GBK" w:cs="方正仿宋_GBK"/>
          <w:color w:val="auto"/>
          <w:sz w:val="32"/>
          <w:szCs w:val="32"/>
          <w:highlight w:val="none"/>
        </w:rPr>
        <w:t>事宜</w:t>
      </w:r>
      <w:r>
        <w:rPr>
          <w:rFonts w:ascii="方正仿宋_GBK" w:hAnsi="方正仿宋_GBK" w:eastAsia="方正仿宋_GBK" w:cs="方正仿宋_GBK"/>
          <w:color w:val="auto"/>
          <w:sz w:val="32"/>
          <w:szCs w:val="32"/>
          <w:highlight w:val="none"/>
        </w:rPr>
        <w:t>。</w:t>
      </w:r>
    </w:p>
    <w:p w14:paraId="4160CFD4">
      <w:pPr>
        <w:pStyle w:val="3"/>
        <w:keepNext w:val="0"/>
        <w:keepLines w:val="0"/>
        <w:pageBreakBefore w:val="0"/>
        <w:kinsoku/>
        <w:wordWrap/>
        <w:overflowPunct/>
        <w:topLinePunct w:val="0"/>
        <w:autoSpaceDE/>
        <w:autoSpaceDN/>
        <w:bidi w:val="0"/>
        <w:adjustRightInd/>
        <w:spacing w:line="594" w:lineRule="exact"/>
        <w:ind w:firstLine="57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ascii="方正仿宋_GBK" w:hAnsi="方正仿宋_GBK" w:eastAsia="方正仿宋_GBK" w:cs="方正仿宋_GBK"/>
          <w:color w:val="auto"/>
          <w:sz w:val="32"/>
          <w:szCs w:val="32"/>
          <w:highlight w:val="none"/>
        </w:rPr>
        <w:t xml:space="preserve"> 所有产品及零部件、材料都必须是全新、未使用过且符合国家及行业颁发现行的有关设计、制造技术标准和规范，并满足采购方的使用要求。同时，</w:t>
      </w:r>
      <w:r>
        <w:rPr>
          <w:rFonts w:hint="eastAsia" w:ascii="方正仿宋_GBK" w:hAnsi="方正仿宋_GBK" w:eastAsia="方正仿宋_GBK" w:cs="方正仿宋_GBK"/>
          <w:color w:val="auto"/>
          <w:sz w:val="32"/>
          <w:szCs w:val="32"/>
          <w:highlight w:val="none"/>
        </w:rPr>
        <w:t>投标人</w:t>
      </w:r>
      <w:r>
        <w:rPr>
          <w:rFonts w:ascii="方正仿宋_GBK" w:hAnsi="方正仿宋_GBK" w:eastAsia="方正仿宋_GBK" w:cs="方正仿宋_GBK"/>
          <w:color w:val="auto"/>
          <w:sz w:val="32"/>
          <w:szCs w:val="32"/>
          <w:highlight w:val="none"/>
        </w:rPr>
        <w:t>需提供样品</w:t>
      </w:r>
      <w:r>
        <w:rPr>
          <w:rFonts w:hint="eastAsia" w:ascii="方正仿宋_GBK" w:hAnsi="方正仿宋_GBK" w:eastAsia="方正仿宋_GBK" w:cs="方正仿宋_GBK"/>
          <w:color w:val="auto"/>
          <w:sz w:val="32"/>
          <w:szCs w:val="32"/>
          <w:highlight w:val="none"/>
        </w:rPr>
        <w:t>（不少于3个</w:t>
      </w:r>
      <w:r>
        <w:rPr>
          <w:rFonts w:ascii="方正仿宋_GBK" w:hAnsi="方正仿宋_GBK" w:eastAsia="方正仿宋_GBK" w:cs="方正仿宋_GBK"/>
          <w:color w:val="auto"/>
          <w:sz w:val="32"/>
          <w:szCs w:val="32"/>
          <w:highlight w:val="none"/>
        </w:rPr>
        <w:t>品牌</w:t>
      </w:r>
      <w:r>
        <w:rPr>
          <w:rFonts w:hint="eastAsia" w:ascii="方正仿宋_GBK" w:hAnsi="方正仿宋_GBK" w:eastAsia="方正仿宋_GBK" w:cs="方正仿宋_GBK"/>
          <w:color w:val="auto"/>
          <w:sz w:val="32"/>
          <w:szCs w:val="32"/>
          <w:highlight w:val="none"/>
        </w:rPr>
        <w:t>）</w:t>
      </w:r>
      <w:r>
        <w:rPr>
          <w:rFonts w:ascii="方正仿宋_GBK" w:hAnsi="方正仿宋_GBK" w:eastAsia="方正仿宋_GBK" w:cs="方正仿宋_GBK"/>
          <w:color w:val="auto"/>
          <w:sz w:val="32"/>
          <w:szCs w:val="32"/>
          <w:highlight w:val="none"/>
        </w:rPr>
        <w:t>供采购人确认后方可施工。</w:t>
      </w:r>
    </w:p>
    <w:p w14:paraId="3086E820">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（六）违约责任</w:t>
      </w:r>
    </w:p>
    <w:p w14:paraId="5BBA1C53">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1. </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未完成经发包人、监理人审定的周进度计划、月进度计划、节点工期违约金的计算方法为：</w:t>
      </w:r>
      <w:r>
        <w:rPr>
          <w:rFonts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rPr>
        <w:t>000-</w:t>
      </w:r>
      <w:r>
        <w:rPr>
          <w:rFonts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z w:val="32"/>
          <w:szCs w:val="32"/>
          <w:highlight w:val="none"/>
        </w:rPr>
        <w:t>000元／次.项，上不封顶。</w:t>
      </w:r>
    </w:p>
    <w:p w14:paraId="0DDD7D30">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2.除因发包人的原因导致工期延误顺延工期之外，</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逾期</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en-US" w:eastAsia="zh-CN"/>
        </w:rPr>
        <w:t>含设备、工程</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rPr>
        <w:t>竣工违约金的计算方法为：</w:t>
      </w:r>
      <w:r>
        <w:rPr>
          <w:rFonts w:ascii="方正仿宋_GBK" w:hAnsi="方正仿宋_GBK" w:eastAsia="方正仿宋_GBK" w:cs="方正仿宋_GBK"/>
          <w:color w:val="auto"/>
          <w:sz w:val="32"/>
          <w:szCs w:val="32"/>
          <w:highlight w:val="none"/>
        </w:rPr>
        <w:t>2</w:t>
      </w:r>
      <w:r>
        <w:rPr>
          <w:rFonts w:hint="eastAsia" w:ascii="方正仿宋_GBK" w:hAnsi="方正仿宋_GBK" w:eastAsia="方正仿宋_GBK" w:cs="方正仿宋_GBK"/>
          <w:color w:val="auto"/>
          <w:sz w:val="32"/>
          <w:szCs w:val="32"/>
          <w:highlight w:val="none"/>
        </w:rPr>
        <w:t>000元／天。</w:t>
      </w:r>
    </w:p>
    <w:p w14:paraId="05185689">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未按经审定的施工组织设计配备或更换关键施工设备的违约责任：按（5000～50000）元/台·次支付违约金。</w:t>
      </w:r>
    </w:p>
    <w:p w14:paraId="11BC6CCF">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拖欠其工人或所雇人员工资或报酬，导致其工人或所雇人员向有关部门投诉、控告、检举或以聚集等方式讨要工资或报酬的违约责任：根据具体情节，按违约金额（10000～50000）元/次支付违约金。</w:t>
      </w:r>
    </w:p>
    <w:p w14:paraId="04A70D08">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5.</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未按合同约定移交全部和部分工程的违约责任：由</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承担工程照管、成品保护、保管等与工程有关的各种费用，并按结算金额或违约部分结算金额的0.5～1‰支付违约金。</w:t>
      </w:r>
    </w:p>
    <w:p w14:paraId="17AB987E">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以项目报批报建手续不全、阻工民扰、交通困难、现场环境、政府和行业的政策调整、政府和行业的检查及管理、非发包人故意未付工程款、</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向发包人所提诉求未得到答复等原因为由停工、怠工视为违约，</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未按招标文件和发包人、行业主管部门时间要求缴纳各种规费、税费、保险、提供各种资料视为违约,</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未履行本合同约定的义务及事项、不服从发包人的管理等情况视为违约；对本条款违约处</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2000-5000元/次.项的违约责任，直至终止合同。</w:t>
      </w:r>
    </w:p>
    <w:p w14:paraId="2D05D02C">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7. </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所交的货物（含服务）品种、型号、规格不符合招标文件规定（依据招标文件清单中名称子项）的，乙方必须按招标文件清单约定进行更换，未进行更换或不满足招标文件规定的每一项（依据招标文件清单中名称子项）按该项中标价的2倍支付违约金，违约金从合同总价中扣除。未进行更换或不满足招标文件规定项数（依据招标文件清单中名称子项）累计达到10项且无实质性整改，甲方有权解除合同并全额扣除履约保证金。</w:t>
      </w:r>
    </w:p>
    <w:p w14:paraId="530FFCE1">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8. </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工程</w:t>
      </w:r>
      <w:r>
        <w:rPr>
          <w:rFonts w:ascii="方正仿宋_GBK" w:hAnsi="方正仿宋_GBK" w:eastAsia="方正仿宋_GBK" w:cs="方正仿宋_GBK"/>
          <w:color w:val="auto"/>
          <w:sz w:val="32"/>
          <w:szCs w:val="32"/>
          <w:highlight w:val="none"/>
        </w:rPr>
        <w:t>施工时段，应配备</w:t>
      </w:r>
      <w:r>
        <w:rPr>
          <w:rFonts w:hint="eastAsia" w:ascii="方正仿宋_GBK" w:hAnsi="方正仿宋_GBK" w:eastAsia="方正仿宋_GBK" w:cs="方正仿宋_GBK"/>
          <w:color w:val="auto"/>
          <w:sz w:val="32"/>
          <w:szCs w:val="32"/>
          <w:highlight w:val="none"/>
        </w:rPr>
        <w:t>项目负责人、技术负责人、安全员、质量员、施工员等</w:t>
      </w:r>
      <w:r>
        <w:rPr>
          <w:rFonts w:ascii="方正仿宋_GBK" w:hAnsi="方正仿宋_GBK" w:eastAsia="方正仿宋_GBK" w:cs="方正仿宋_GBK"/>
          <w:color w:val="auto"/>
          <w:sz w:val="32"/>
          <w:szCs w:val="32"/>
          <w:highlight w:val="none"/>
        </w:rPr>
        <w:t>管理人员，且管理人员</w:t>
      </w:r>
      <w:r>
        <w:rPr>
          <w:rFonts w:hint="eastAsia" w:ascii="方正仿宋_GBK" w:hAnsi="方正仿宋_GBK" w:eastAsia="方正仿宋_GBK" w:cs="方正仿宋_GBK"/>
          <w:color w:val="auto"/>
          <w:sz w:val="32"/>
          <w:szCs w:val="32"/>
          <w:highlight w:val="none"/>
        </w:rPr>
        <w:t>必须到项目现场签到，履职天数每月不得低于22天，每缺少1人/天处违约金1000-5000元。</w:t>
      </w:r>
    </w:p>
    <w:p w14:paraId="276515DD">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9. </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有其他违反合同约定行为的，本违约条款未明确的，向采购人支付</w:t>
      </w:r>
      <w:r>
        <w:rPr>
          <w:rFonts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rPr>
        <w:t>000-</w:t>
      </w:r>
      <w:r>
        <w:rPr>
          <w:rFonts w:ascii="方正仿宋_GBK" w:hAnsi="方正仿宋_GBK" w:eastAsia="方正仿宋_GBK" w:cs="方正仿宋_GBK"/>
          <w:color w:val="auto"/>
          <w:sz w:val="32"/>
          <w:szCs w:val="32"/>
          <w:highlight w:val="none"/>
        </w:rPr>
        <w:t>5</w:t>
      </w:r>
      <w:r>
        <w:rPr>
          <w:rFonts w:hint="eastAsia" w:ascii="方正仿宋_GBK" w:hAnsi="方正仿宋_GBK" w:eastAsia="方正仿宋_GBK" w:cs="方正仿宋_GBK"/>
          <w:color w:val="auto"/>
          <w:sz w:val="32"/>
          <w:szCs w:val="32"/>
          <w:highlight w:val="none"/>
        </w:rPr>
        <w:t xml:space="preserve">000元/项.次的违约金。  </w:t>
      </w:r>
    </w:p>
    <w:p w14:paraId="6C0475C1">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10. </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如有严重滞后工期、严重违约的情形，采购人可单方解除合同，</w:t>
      </w:r>
      <w:r>
        <w:rPr>
          <w:rFonts w:hint="eastAsia" w:ascii="方正仿宋_GBK" w:hAnsi="方正仿宋_GBK" w:eastAsia="方正仿宋_GBK" w:cs="方正仿宋_GBK"/>
          <w:color w:val="auto"/>
          <w:sz w:val="32"/>
          <w:szCs w:val="32"/>
          <w:highlight w:val="none"/>
          <w:lang w:eastAsia="zh-CN"/>
        </w:rPr>
        <w:t>中标人</w:t>
      </w:r>
      <w:r>
        <w:rPr>
          <w:rFonts w:hint="eastAsia" w:ascii="方正仿宋_GBK" w:hAnsi="方正仿宋_GBK" w:eastAsia="方正仿宋_GBK" w:cs="方正仿宋_GBK"/>
          <w:color w:val="auto"/>
          <w:sz w:val="32"/>
          <w:szCs w:val="32"/>
          <w:highlight w:val="none"/>
        </w:rPr>
        <w:t>无条件交出场地，甲方仅支付已完合格工程量50%的费用。</w:t>
      </w:r>
    </w:p>
    <w:p w14:paraId="59E5DBB8">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11. 合同签订后10日历天内提交各项施工方案、人员资格证书等所有合格资料(监理审核合格)，逾期处违约金5000元/天。</w:t>
      </w:r>
    </w:p>
    <w:p w14:paraId="42D5A229">
      <w:pPr>
        <w:keepNext w:val="0"/>
        <w:keepLines w:val="0"/>
        <w:pageBreakBefore w:val="0"/>
        <w:kinsoku/>
        <w:wordWrap/>
        <w:overflowPunct/>
        <w:topLinePunct w:val="0"/>
        <w:autoSpaceDE/>
        <w:autoSpaceDN/>
        <w:bidi w:val="0"/>
        <w:adjustRightInd/>
        <w:snapToGrid w:val="0"/>
        <w:spacing w:line="594"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12、中标人为按时交货的</w:t>
      </w:r>
    </w:p>
    <w:p w14:paraId="715A628B">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（七）其他</w:t>
      </w:r>
    </w:p>
    <w:p w14:paraId="178A2AC2">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1</w:t>
      </w:r>
      <w:r>
        <w:rPr>
          <w:rFonts w:hint="eastAsia" w:ascii="方正仿宋_GBK" w:hAnsi="方正仿宋_GBK" w:eastAsia="方正仿宋_GBK" w:cs="方正仿宋_GBK"/>
          <w:color w:val="auto"/>
          <w:sz w:val="32"/>
          <w:szCs w:val="32"/>
          <w:highlight w:val="none"/>
        </w:rPr>
        <w:t>.如有新增项目清单中无参照价格的，按照13清单、18定额进行组价并按该项目招标最高限价与中标价的下浮比例进入审计结算（材料价按照当期重庆市造价信息价执行，如无信息价，则执行黔江当地市场价）。</w:t>
      </w:r>
    </w:p>
    <w:p w14:paraId="2912BE83">
      <w:pPr>
        <w:keepNext w:val="0"/>
        <w:keepLines w:val="0"/>
        <w:pageBreakBefore w:val="0"/>
        <w:kinsoku/>
        <w:wordWrap/>
        <w:overflowPunct/>
        <w:topLinePunct w:val="0"/>
        <w:autoSpaceDE/>
        <w:autoSpaceDN/>
        <w:bidi w:val="0"/>
        <w:adjustRightInd/>
        <w:snapToGrid w:val="0"/>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 从施工进场开始至维保、质保期满书面交接给甲方之日止，乙方及其员工的行为给甲方、乙方及第三人造成的人身、财产损害等安全责任，乙方承担全部赔偿责任和其他法律责任，如第三方将甲方作为被告的，法院判决甲方应承担的费用也由乙方全部承担。</w:t>
      </w:r>
    </w:p>
    <w:p w14:paraId="6FDD20A0">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ascii="方正仿宋_GBK" w:hAnsi="方正仿宋_GBK" w:eastAsia="方正仿宋_GBK" w:cs="方正仿宋_GBK"/>
          <w:color w:val="auto"/>
          <w:sz w:val="32"/>
          <w:szCs w:val="32"/>
          <w:highlight w:val="none"/>
        </w:rPr>
        <w:t xml:space="preserve">. </w:t>
      </w:r>
      <w:r>
        <w:rPr>
          <w:rFonts w:hint="eastAsia" w:ascii="方正仿宋_GBK" w:hAnsi="方正仿宋_GBK" w:eastAsia="方正仿宋_GBK" w:cs="方正仿宋_GBK"/>
          <w:color w:val="auto"/>
          <w:sz w:val="32"/>
          <w:szCs w:val="32"/>
          <w:highlight w:val="none"/>
        </w:rPr>
        <w:t>估算该项目最终结算价超合同价时，需事前书面报告采购人，否则视为无需采购人支付超合同价的工程款费用。</w:t>
      </w:r>
    </w:p>
    <w:p w14:paraId="26AADFCE">
      <w:pPr>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 xml:space="preserve">4. 如有甩项施工或结算工程量及子项如有减少，甲方不对乙方作补偿、赔偿。与该项目有关联的施工内容，合同或清单中未有的子项或清单增量、减量，乙方需按照甲方指令施工。 </w:t>
      </w:r>
    </w:p>
    <w:p w14:paraId="1B0E158E">
      <w:pPr>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 xml:space="preserve">5. </w:t>
      </w:r>
      <w:r>
        <w:rPr>
          <w:rFonts w:hint="eastAsia" w:ascii="方正仿宋_GBK" w:hAnsi="方正仿宋_GBK" w:eastAsia="方正仿宋_GBK" w:cs="方正仿宋_GBK"/>
          <w:color w:val="auto"/>
          <w:sz w:val="32"/>
          <w:szCs w:val="32"/>
          <w:highlight w:val="none"/>
        </w:rPr>
        <w:t>无论是否验收、是否解除合同或双方存在纠纷尚未解决等情况，乙方均不得阻碍甲方对房屋的使用和开展医疗、办公业务，否则乙方除承担相应的法律责任外，还承担被全额扣除履约保证金的责任。</w:t>
      </w:r>
    </w:p>
    <w:p w14:paraId="27199FC5">
      <w:pPr>
        <w:pStyle w:val="3"/>
        <w:keepNext w:val="0"/>
        <w:keepLines w:val="0"/>
        <w:pageBreakBefore w:val="0"/>
        <w:kinsoku/>
        <w:wordWrap/>
        <w:overflowPunct/>
        <w:topLinePunct w:val="0"/>
        <w:autoSpaceDE/>
        <w:autoSpaceDN/>
        <w:bidi w:val="0"/>
        <w:adjustRightInd/>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6. 投标人须做好项目安全文明施工。在施工中发生的伤亡事故和其他损失，均由投标人负责并全部承担其法律责任和经济责任。</w:t>
      </w:r>
      <w:r>
        <w:rPr>
          <w:rFonts w:ascii="方正仿宋_GBK" w:hAnsi="方正仿宋_GBK" w:eastAsia="方正仿宋_GBK" w:cs="方正仿宋_GBK"/>
          <w:color w:val="auto"/>
          <w:sz w:val="32"/>
          <w:szCs w:val="32"/>
          <w:highlight w:val="none"/>
        </w:rPr>
        <w:t>乙方</w:t>
      </w:r>
      <w:r>
        <w:rPr>
          <w:rFonts w:hint="eastAsia" w:ascii="方正仿宋_GBK" w:hAnsi="方正仿宋_GBK" w:eastAsia="方正仿宋_GBK" w:cs="方正仿宋_GBK"/>
          <w:color w:val="auto"/>
          <w:sz w:val="32"/>
          <w:szCs w:val="32"/>
          <w:highlight w:val="none"/>
        </w:rPr>
        <w:t>在施工过程中应注意对医院其他设施、设备的保护，如有损坏则照价赔偿。施工现场必须做好整洁规范的防护围挡，并张贴安全标语，防止医务人员、病人和小孩误入。</w:t>
      </w:r>
    </w:p>
    <w:p w14:paraId="1D12FF44">
      <w:pPr>
        <w:pStyle w:val="3"/>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 xml:space="preserve">7. </w:t>
      </w:r>
      <w:r>
        <w:rPr>
          <w:rFonts w:hint="eastAsia" w:ascii="方正仿宋_GBK" w:hAnsi="方正仿宋_GBK" w:eastAsia="方正仿宋_GBK" w:cs="方正仿宋_GBK"/>
          <w:color w:val="auto"/>
          <w:sz w:val="32"/>
          <w:szCs w:val="32"/>
          <w:highlight w:val="none"/>
        </w:rPr>
        <w:t>本合同履行期间如因乙方原因导致被第三方提起诉讼，甲方被作为第二被告或被判承担责任的，甲方所承担的责任由乙方承担法律责任和赔偿责任。诉讼未终结，甲方不予退还乙方缴纳的履约保证金。</w:t>
      </w:r>
    </w:p>
    <w:p w14:paraId="0B57388A">
      <w:pPr>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8</w:t>
      </w:r>
      <w:r>
        <w:rPr>
          <w:rFonts w:hint="eastAsia" w:ascii="方正仿宋_GBK" w:hAnsi="方正仿宋_GBK" w:eastAsia="方正仿宋_GBK" w:cs="方正仿宋_GBK"/>
          <w:color w:val="auto"/>
          <w:sz w:val="32"/>
          <w:szCs w:val="32"/>
          <w:highlight w:val="none"/>
        </w:rPr>
        <w:t>. 乙方必须按照安全文明施工规范施工、办理城市管理相关手续，费用包含在合同总价中。</w:t>
      </w:r>
    </w:p>
    <w:p w14:paraId="3F6E9872">
      <w:pPr>
        <w:keepNext w:val="0"/>
        <w:keepLines w:val="0"/>
        <w:pageBreakBefore w:val="0"/>
        <w:kinsoku/>
        <w:wordWrap/>
        <w:overflowPunct/>
        <w:topLinePunct w:val="0"/>
        <w:autoSpaceDE/>
        <w:autoSpaceDN/>
        <w:bidi w:val="0"/>
        <w:adjustRightInd/>
        <w:spacing w:line="594" w:lineRule="exact"/>
        <w:ind w:firstLine="640" w:firstLineChars="200"/>
        <w:rPr>
          <w:rFonts w:hint="eastAsia" w:ascii="方正仿宋_GBK" w:hAnsi="方正仿宋_GBK" w:eastAsia="方正仿宋_GBK" w:cs="方正仿宋_GBK"/>
          <w:color w:val="auto"/>
          <w:sz w:val="32"/>
          <w:szCs w:val="32"/>
          <w:highlight w:val="none"/>
        </w:rPr>
      </w:pPr>
      <w:r>
        <w:rPr>
          <w:rFonts w:ascii="方正仿宋_GBK" w:hAnsi="方正仿宋_GBK" w:eastAsia="方正仿宋_GBK" w:cs="方正仿宋_GBK"/>
          <w:color w:val="auto"/>
          <w:sz w:val="32"/>
          <w:szCs w:val="32"/>
          <w:highlight w:val="none"/>
        </w:rPr>
        <w:t>9</w:t>
      </w:r>
      <w:r>
        <w:rPr>
          <w:rFonts w:hint="eastAsia" w:ascii="方正仿宋_GBK" w:hAnsi="方正仿宋_GBK" w:eastAsia="方正仿宋_GBK" w:cs="方正仿宋_GBK"/>
          <w:color w:val="auto"/>
          <w:sz w:val="32"/>
          <w:szCs w:val="32"/>
          <w:highlight w:val="none"/>
        </w:rPr>
        <w:t>. 结算：采购人按照内控制度进行审计，依据竣工资料、签证资料、影像资料、清单、合同相关条款约定据实审定、结算、支付。乙方需在验收合格后30日内一次性向甲方提交审计所需的竣工资料，如未一次性提交，自行承担被审减工程量、费用等的风险。</w:t>
      </w:r>
    </w:p>
    <w:p w14:paraId="5F75321B">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（八）特定资格条件</w:t>
      </w:r>
    </w:p>
    <w:p w14:paraId="2E103138">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宋体" w:eastAsia="方正仿宋_GBK"/>
          <w:color w:val="auto"/>
          <w:sz w:val="32"/>
          <w:szCs w:val="32"/>
          <w:highlight w:val="none"/>
        </w:rPr>
      </w:pPr>
      <w:r>
        <w:rPr>
          <w:rFonts w:hint="eastAsia" w:ascii="方正仿宋_GBK" w:hAnsi="宋体" w:eastAsia="方正仿宋_GBK"/>
          <w:color w:val="auto"/>
          <w:sz w:val="32"/>
          <w:szCs w:val="32"/>
          <w:highlight w:val="none"/>
        </w:rPr>
        <w:t>1.营业执照具备医疗器械经营范围</w:t>
      </w:r>
    </w:p>
    <w:p w14:paraId="3E3CEB0A">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宋体" w:eastAsia="方正仿宋_GBK"/>
          <w:color w:val="auto"/>
          <w:sz w:val="32"/>
          <w:szCs w:val="32"/>
          <w:highlight w:val="none"/>
        </w:rPr>
      </w:pPr>
      <w:r>
        <w:rPr>
          <w:rFonts w:hint="eastAsia" w:ascii="方正仿宋_GBK" w:hAnsi="宋体" w:eastAsia="方正仿宋_GBK"/>
          <w:color w:val="auto"/>
          <w:sz w:val="32"/>
          <w:szCs w:val="32"/>
          <w:highlight w:val="none"/>
        </w:rPr>
        <w:t>2.具备医疗器械经营许可证</w:t>
      </w:r>
    </w:p>
    <w:p w14:paraId="54885DB7">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楷体_GBK" w:hAnsi="方正楷体_GBK" w:eastAsia="方正楷体_GBK" w:cs="方正楷体_GBK"/>
          <w:color w:val="auto"/>
          <w:sz w:val="32"/>
          <w:szCs w:val="32"/>
          <w:highlight w:val="none"/>
        </w:rPr>
      </w:pPr>
      <w:r>
        <w:rPr>
          <w:rFonts w:hint="eastAsia" w:ascii="方正楷体_GBK" w:hAnsi="方正楷体_GBK" w:eastAsia="方正楷体_GBK" w:cs="方正楷体_GBK"/>
          <w:color w:val="auto"/>
          <w:sz w:val="32"/>
          <w:szCs w:val="32"/>
          <w:highlight w:val="none"/>
        </w:rPr>
        <w:t>（九）成交办法</w:t>
      </w:r>
    </w:p>
    <w:p w14:paraId="2C5FDBE7">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满足资格条件、技术参数等招标文件要求，设备报价加装修报价最低的为中标候选人。</w:t>
      </w:r>
    </w:p>
    <w:p w14:paraId="20A0D141">
      <w:pPr>
        <w:keepNext w:val="0"/>
        <w:keepLines w:val="0"/>
        <w:pageBreakBefore w:val="0"/>
        <w:kinsoku/>
        <w:wordWrap/>
        <w:overflowPunct/>
        <w:topLinePunct w:val="0"/>
        <w:autoSpaceDE/>
        <w:autoSpaceDN/>
        <w:bidi w:val="0"/>
        <w:adjustRightInd/>
        <w:spacing w:line="594" w:lineRule="exact"/>
        <w:ind w:firstLine="640" w:firstLineChars="200"/>
        <w:rPr>
          <w:rFonts w:ascii="方正仿宋_GBK" w:hAnsi="宋体" w:eastAsia="方正仿宋_GBK"/>
          <w:color w:val="auto"/>
          <w:sz w:val="32"/>
          <w:szCs w:val="32"/>
          <w:highlight w:val="none"/>
        </w:rPr>
      </w:pPr>
    </w:p>
    <w:p w14:paraId="2E14650B">
      <w:pPr>
        <w:keepNext w:val="0"/>
        <w:keepLines w:val="0"/>
        <w:pageBreakBefore w:val="0"/>
        <w:kinsoku/>
        <w:wordWrap/>
        <w:overflowPunct/>
        <w:topLinePunct w:val="0"/>
        <w:autoSpaceDE/>
        <w:autoSpaceDN/>
        <w:bidi w:val="0"/>
        <w:adjustRightInd/>
        <w:snapToGrid w:val="0"/>
        <w:spacing w:line="594" w:lineRule="exact"/>
        <w:ind w:firstLine="640" w:firstLineChars="200"/>
        <w:rPr>
          <w:rFonts w:ascii="方正仿宋_GBK" w:hAnsi="方正仿宋_GBK" w:eastAsia="方正仿宋_GBK" w:cs="方正仿宋_GBK"/>
          <w:color w:val="auto"/>
          <w:sz w:val="32"/>
          <w:szCs w:val="32"/>
          <w:highlight w:val="none"/>
        </w:rPr>
      </w:pPr>
    </w:p>
    <w:p w14:paraId="23A6D0B9">
      <w:pPr>
        <w:keepNext w:val="0"/>
        <w:keepLines w:val="0"/>
        <w:pageBreakBefore w:val="0"/>
        <w:kinsoku/>
        <w:wordWrap/>
        <w:overflowPunct/>
        <w:topLinePunct w:val="0"/>
        <w:autoSpaceDE/>
        <w:autoSpaceDN/>
        <w:bidi w:val="0"/>
        <w:adjustRightInd/>
        <w:spacing w:line="594" w:lineRule="exact"/>
        <w:rPr>
          <w:rFonts w:ascii="方正仿宋_GBK" w:hAnsi="方正仿宋_GBK" w:eastAsia="方正仿宋_GBK" w:cs="方正仿宋_GBK"/>
          <w:color w:val="auto"/>
          <w:sz w:val="32"/>
          <w:szCs w:val="32"/>
          <w:highlight w:val="none"/>
        </w:rPr>
      </w:pPr>
    </w:p>
    <w:sectPr>
      <w:pgSz w:w="11906" w:h="16838"/>
      <w:pgMar w:top="1984" w:right="1446" w:bottom="1644"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1A0C84"/>
    <w:multiLevelType w:val="singleLevel"/>
    <w:tmpl w:val="801A0C84"/>
    <w:lvl w:ilvl="0" w:tentative="0">
      <w:start w:val="1"/>
      <w:numFmt w:val="decimal"/>
      <w:suff w:val="space"/>
      <w:lvlText w:val="%1."/>
      <w:lvlJc w:val="left"/>
    </w:lvl>
  </w:abstractNum>
  <w:abstractNum w:abstractNumId="1">
    <w:nsid w:val="C5AF62AF"/>
    <w:multiLevelType w:val="singleLevel"/>
    <w:tmpl w:val="C5AF62AF"/>
    <w:lvl w:ilvl="0" w:tentative="0">
      <w:start w:val="7"/>
      <w:numFmt w:val="chineseCounting"/>
      <w:suff w:val="nothing"/>
      <w:lvlText w:val="%1、"/>
      <w:lvlJc w:val="left"/>
      <w:rPr>
        <w:rFonts w:hint="eastAsia"/>
      </w:rPr>
    </w:lvl>
  </w:abstractNum>
  <w:abstractNum w:abstractNumId="2">
    <w:nsid w:val="DCA05150"/>
    <w:multiLevelType w:val="singleLevel"/>
    <w:tmpl w:val="DCA05150"/>
    <w:lvl w:ilvl="0" w:tentative="0">
      <w:start w:val="1"/>
      <w:numFmt w:val="chineseCounting"/>
      <w:suff w:val="nothing"/>
      <w:lvlText w:val="（%1）"/>
      <w:lvlJc w:val="left"/>
      <w:rPr>
        <w:rFonts w:hint="eastAsia"/>
      </w:rPr>
    </w:lvl>
  </w:abstractNum>
  <w:abstractNum w:abstractNumId="3">
    <w:nsid w:val="E0DC3E71"/>
    <w:multiLevelType w:val="singleLevel"/>
    <w:tmpl w:val="E0DC3E71"/>
    <w:lvl w:ilvl="0" w:tentative="0">
      <w:start w:val="1"/>
      <w:numFmt w:val="chineseCounting"/>
      <w:suff w:val="nothing"/>
      <w:lvlText w:val="%1、"/>
      <w:lvlJc w:val="left"/>
      <w:rPr>
        <w:rFonts w:hint="eastAsia"/>
      </w:rPr>
    </w:lvl>
  </w:abstractNum>
  <w:abstractNum w:abstractNumId="4">
    <w:nsid w:val="FEBF0F4E"/>
    <w:multiLevelType w:val="singleLevel"/>
    <w:tmpl w:val="FEBF0F4E"/>
    <w:lvl w:ilvl="0" w:tentative="0">
      <w:start w:val="1"/>
      <w:numFmt w:val="decimal"/>
      <w:lvlText w:val="%1"/>
      <w:lvlJc w:val="left"/>
      <w:pPr>
        <w:tabs>
          <w:tab w:val="left" w:pos="420"/>
        </w:tabs>
        <w:ind w:left="425" w:hanging="425"/>
      </w:pPr>
      <w:rPr>
        <w:rFonts w:hint="default"/>
      </w:rPr>
    </w:lvl>
  </w:abstractNum>
  <w:abstractNum w:abstractNumId="5">
    <w:nsid w:val="196F6EF3"/>
    <w:multiLevelType w:val="singleLevel"/>
    <w:tmpl w:val="196F6EF3"/>
    <w:lvl w:ilvl="0" w:tentative="0">
      <w:start w:val="7"/>
      <w:numFmt w:val="decimal"/>
      <w:suff w:val="space"/>
      <w:lvlText w:val="%1."/>
      <w:lvlJc w:val="left"/>
    </w:lvl>
  </w:abstractNum>
  <w:abstractNum w:abstractNumId="6">
    <w:nsid w:val="3E492436"/>
    <w:multiLevelType w:val="singleLevel"/>
    <w:tmpl w:val="3E492436"/>
    <w:lvl w:ilvl="0" w:tentative="0">
      <w:start w:val="1"/>
      <w:numFmt w:val="decimal"/>
      <w:lvlText w:val="%1."/>
      <w:lvlJc w:val="left"/>
      <w:pPr>
        <w:tabs>
          <w:tab w:val="left" w:pos="312"/>
        </w:tabs>
      </w:pPr>
    </w:lvl>
  </w:abstractNum>
  <w:abstractNum w:abstractNumId="7">
    <w:nsid w:val="7AA4640A"/>
    <w:multiLevelType w:val="singleLevel"/>
    <w:tmpl w:val="7AA4640A"/>
    <w:lvl w:ilvl="0" w:tentative="0">
      <w:start w:val="2"/>
      <w:numFmt w:val="decimal"/>
      <w:suff w:val="space"/>
      <w:lvlText w:val="%1."/>
      <w:lvlJc w:val="left"/>
    </w:lvl>
  </w:abstractNum>
  <w:num w:numId="1">
    <w:abstractNumId w:val="3"/>
  </w:num>
  <w:num w:numId="2">
    <w:abstractNumId w:val="2"/>
  </w:num>
  <w:num w:numId="3">
    <w:abstractNumId w:val="7"/>
  </w:num>
  <w:num w:numId="4">
    <w:abstractNumId w:val="5"/>
  </w:num>
  <w:num w:numId="5">
    <w:abstractNumId w:val="1"/>
  </w:num>
  <w:num w:numId="6">
    <w:abstractNumId w:val="6"/>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3NjI5NDQ0MDI5OTg0MTZjYTM5NDc1ZDQ2MzA3ZDEifQ=="/>
  </w:docVars>
  <w:rsids>
    <w:rsidRoot w:val="006D29CB"/>
    <w:rsid w:val="00051CFC"/>
    <w:rsid w:val="000D06E8"/>
    <w:rsid w:val="001360FE"/>
    <w:rsid w:val="00151FD2"/>
    <w:rsid w:val="001B56B4"/>
    <w:rsid w:val="002458D4"/>
    <w:rsid w:val="002534A4"/>
    <w:rsid w:val="002C63A9"/>
    <w:rsid w:val="002F7117"/>
    <w:rsid w:val="00313B2B"/>
    <w:rsid w:val="003D3806"/>
    <w:rsid w:val="003E303F"/>
    <w:rsid w:val="004A6F15"/>
    <w:rsid w:val="00560D0C"/>
    <w:rsid w:val="005B5555"/>
    <w:rsid w:val="00637E80"/>
    <w:rsid w:val="0064761D"/>
    <w:rsid w:val="0066484D"/>
    <w:rsid w:val="006752EA"/>
    <w:rsid w:val="006C7BDC"/>
    <w:rsid w:val="006D29CB"/>
    <w:rsid w:val="006E5B25"/>
    <w:rsid w:val="006F7824"/>
    <w:rsid w:val="00746E2D"/>
    <w:rsid w:val="007C7AD5"/>
    <w:rsid w:val="00875D63"/>
    <w:rsid w:val="00882229"/>
    <w:rsid w:val="008C7E61"/>
    <w:rsid w:val="00906512"/>
    <w:rsid w:val="00922A6F"/>
    <w:rsid w:val="009A3DA9"/>
    <w:rsid w:val="009C611F"/>
    <w:rsid w:val="00A128A3"/>
    <w:rsid w:val="00A26F22"/>
    <w:rsid w:val="00AA4A3B"/>
    <w:rsid w:val="00AE70EA"/>
    <w:rsid w:val="00AF13F2"/>
    <w:rsid w:val="00B02427"/>
    <w:rsid w:val="00B47E9D"/>
    <w:rsid w:val="00BC7707"/>
    <w:rsid w:val="00BE2144"/>
    <w:rsid w:val="00C16224"/>
    <w:rsid w:val="00CD347B"/>
    <w:rsid w:val="00CF00F3"/>
    <w:rsid w:val="00D146A9"/>
    <w:rsid w:val="00D31748"/>
    <w:rsid w:val="00D746A8"/>
    <w:rsid w:val="00DC1579"/>
    <w:rsid w:val="00E00BB1"/>
    <w:rsid w:val="00E235B9"/>
    <w:rsid w:val="00E30095"/>
    <w:rsid w:val="00E52252"/>
    <w:rsid w:val="00EA3169"/>
    <w:rsid w:val="00F030C1"/>
    <w:rsid w:val="00F0709F"/>
    <w:rsid w:val="00F51551"/>
    <w:rsid w:val="00F81FC8"/>
    <w:rsid w:val="037B4D10"/>
    <w:rsid w:val="050F0300"/>
    <w:rsid w:val="0770003C"/>
    <w:rsid w:val="09EF09FB"/>
    <w:rsid w:val="0A4E4CBD"/>
    <w:rsid w:val="10FF79BF"/>
    <w:rsid w:val="15ED7D79"/>
    <w:rsid w:val="167662F9"/>
    <w:rsid w:val="19272D52"/>
    <w:rsid w:val="1B726EB7"/>
    <w:rsid w:val="1FA123C2"/>
    <w:rsid w:val="223F2454"/>
    <w:rsid w:val="22CF0F38"/>
    <w:rsid w:val="25B47576"/>
    <w:rsid w:val="25CD5354"/>
    <w:rsid w:val="26A57B72"/>
    <w:rsid w:val="27704A61"/>
    <w:rsid w:val="286D6A0E"/>
    <w:rsid w:val="2C056793"/>
    <w:rsid w:val="2DA9160C"/>
    <w:rsid w:val="38171B88"/>
    <w:rsid w:val="3BC7187A"/>
    <w:rsid w:val="3C8C595F"/>
    <w:rsid w:val="3DC5744E"/>
    <w:rsid w:val="411F45FE"/>
    <w:rsid w:val="4A115C6C"/>
    <w:rsid w:val="4A883AC5"/>
    <w:rsid w:val="4C237129"/>
    <w:rsid w:val="4C8B22DF"/>
    <w:rsid w:val="4EB13FAC"/>
    <w:rsid w:val="4ECC32FB"/>
    <w:rsid w:val="58FC18AC"/>
    <w:rsid w:val="593C100D"/>
    <w:rsid w:val="5E327D2F"/>
    <w:rsid w:val="61A364CC"/>
    <w:rsid w:val="64642633"/>
    <w:rsid w:val="64C33B18"/>
    <w:rsid w:val="69AB252D"/>
    <w:rsid w:val="6B36596E"/>
    <w:rsid w:val="6B9F51E6"/>
    <w:rsid w:val="74660BF0"/>
    <w:rsid w:val="753F4D51"/>
    <w:rsid w:val="7A5D16FB"/>
    <w:rsid w:val="7B9267C1"/>
    <w:rsid w:val="7BB95600"/>
    <w:rsid w:val="7DBA3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0"/>
    <w:pPr>
      <w:jc w:val="left"/>
    </w:pPr>
  </w:style>
  <w:style w:type="paragraph" w:styleId="3">
    <w:name w:val="Body Text"/>
    <w:basedOn w:val="1"/>
    <w:link w:val="12"/>
    <w:qFormat/>
    <w:uiPriority w:val="0"/>
    <w:pPr>
      <w:spacing w:after="120"/>
    </w:pPr>
  </w:style>
  <w:style w:type="paragraph" w:styleId="4">
    <w:name w:val="Balloon Text"/>
    <w:basedOn w:val="1"/>
    <w:link w:val="17"/>
    <w:semiHidden/>
    <w:unhideWhenUsed/>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0"/>
    <w:rPr>
      <w:b/>
      <w:bCs/>
    </w:rPr>
  </w:style>
  <w:style w:type="paragraph" w:styleId="8">
    <w:name w:val="Body Text First Indent"/>
    <w:basedOn w:val="1"/>
    <w:next w:val="1"/>
    <w:link w:val="13"/>
    <w:autoRedefine/>
    <w:qFormat/>
    <w:uiPriority w:val="99"/>
    <w:pPr>
      <w:spacing w:line="520" w:lineRule="exact"/>
      <w:ind w:firstLine="640" w:firstLineChars="200"/>
      <w:textAlignment w:val="baseline"/>
    </w:pPr>
    <w:rPr>
      <w:rFonts w:ascii="华文楷体" w:hAnsi="华文楷体" w:eastAsia="华文楷体" w:cs="Times New Roman"/>
      <w:sz w:val="32"/>
      <w:szCs w:val="32"/>
    </w:rPr>
  </w:style>
  <w:style w:type="character" w:styleId="11">
    <w:name w:val="annotation reference"/>
    <w:basedOn w:val="10"/>
    <w:semiHidden/>
    <w:unhideWhenUsed/>
    <w:qFormat/>
    <w:uiPriority w:val="0"/>
    <w:rPr>
      <w:sz w:val="21"/>
      <w:szCs w:val="21"/>
    </w:rPr>
  </w:style>
  <w:style w:type="character" w:customStyle="1" w:styleId="12">
    <w:name w:val="正文文本 字符"/>
    <w:basedOn w:val="10"/>
    <w:link w:val="3"/>
    <w:qFormat/>
    <w:uiPriority w:val="0"/>
    <w:rPr>
      <w:rFonts w:asciiTheme="minorHAnsi" w:hAnsiTheme="minorHAnsi" w:eastAsiaTheme="minorEastAsia" w:cstheme="minorBidi"/>
      <w:kern w:val="2"/>
      <w:sz w:val="21"/>
      <w:szCs w:val="24"/>
    </w:rPr>
  </w:style>
  <w:style w:type="character" w:customStyle="1" w:styleId="13">
    <w:name w:val="正文首行缩进 字符"/>
    <w:basedOn w:val="12"/>
    <w:link w:val="8"/>
    <w:qFormat/>
    <w:uiPriority w:val="99"/>
    <w:rPr>
      <w:rFonts w:ascii="华文楷体" w:hAnsi="华文楷体" w:eastAsia="华文楷体" w:cstheme="minorBidi"/>
      <w:kern w:val="2"/>
      <w:sz w:val="32"/>
      <w:szCs w:val="32"/>
    </w:rPr>
  </w:style>
  <w:style w:type="paragraph" w:styleId="14">
    <w:name w:val="List Paragraph"/>
    <w:basedOn w:val="1"/>
    <w:autoRedefine/>
    <w:qFormat/>
    <w:uiPriority w:val="34"/>
    <w:pPr>
      <w:ind w:firstLine="420" w:firstLineChars="200"/>
    </w:pPr>
    <w:rPr>
      <w:rFonts w:ascii="Times New Roman" w:hAnsi="Times New Roman" w:eastAsia="宋体" w:cs="Times New Roman"/>
    </w:rPr>
  </w:style>
  <w:style w:type="character" w:customStyle="1" w:styleId="15">
    <w:name w:val="页眉 字符"/>
    <w:basedOn w:val="10"/>
    <w:link w:val="6"/>
    <w:qFormat/>
    <w:uiPriority w:val="0"/>
    <w:rPr>
      <w:rFonts w:asciiTheme="minorHAnsi" w:hAnsiTheme="minorHAnsi" w:eastAsiaTheme="minorEastAsia" w:cstheme="minorBidi"/>
      <w:kern w:val="2"/>
      <w:sz w:val="18"/>
      <w:szCs w:val="18"/>
    </w:rPr>
  </w:style>
  <w:style w:type="character" w:customStyle="1" w:styleId="16">
    <w:name w:val="页脚 字符"/>
    <w:basedOn w:val="10"/>
    <w:link w:val="5"/>
    <w:qFormat/>
    <w:uiPriority w:val="0"/>
    <w:rPr>
      <w:rFonts w:asciiTheme="minorHAnsi" w:hAnsiTheme="minorHAnsi" w:eastAsiaTheme="minorEastAsia" w:cstheme="minorBidi"/>
      <w:kern w:val="2"/>
      <w:sz w:val="18"/>
      <w:szCs w:val="18"/>
    </w:rPr>
  </w:style>
  <w:style w:type="character" w:customStyle="1" w:styleId="17">
    <w:name w:val="批注框文本 字符"/>
    <w:basedOn w:val="10"/>
    <w:link w:val="4"/>
    <w:semiHidden/>
    <w:qFormat/>
    <w:uiPriority w:val="0"/>
    <w:rPr>
      <w:rFonts w:asciiTheme="minorHAnsi" w:hAnsiTheme="minorHAnsi" w:eastAsiaTheme="minorEastAsia" w:cstheme="minorBidi"/>
      <w:kern w:val="2"/>
      <w:sz w:val="18"/>
      <w:szCs w:val="18"/>
    </w:rPr>
  </w:style>
  <w:style w:type="character" w:customStyle="1" w:styleId="18">
    <w:name w:val="批注文字 字符"/>
    <w:basedOn w:val="10"/>
    <w:link w:val="2"/>
    <w:semiHidden/>
    <w:qFormat/>
    <w:uiPriority w:val="0"/>
    <w:rPr>
      <w:rFonts w:asciiTheme="minorHAnsi" w:hAnsiTheme="minorHAnsi" w:eastAsiaTheme="minorEastAsia" w:cstheme="minorBidi"/>
      <w:kern w:val="2"/>
      <w:sz w:val="21"/>
      <w:szCs w:val="24"/>
    </w:rPr>
  </w:style>
  <w:style w:type="character" w:customStyle="1" w:styleId="19">
    <w:name w:val="批注主题 字符"/>
    <w:basedOn w:val="18"/>
    <w:link w:val="7"/>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19</Pages>
  <Words>7508</Words>
  <Characters>8325</Characters>
  <Lines>93</Lines>
  <Paragraphs>26</Paragraphs>
  <TotalTime>1</TotalTime>
  <ScaleCrop>false</ScaleCrop>
  <LinksUpToDate>false</LinksUpToDate>
  <CharactersWithSpaces>8467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2024-11-12T08:24:00Z</dcterms:created>
  <dc:creator>admin</dc:creator>
  <cp:lastModifiedBy>冯伟</cp:lastModifiedBy>
  <cp:lastPrinted>2025-01-16T00:47:00Z</cp:lastPrinted>
  <dcterms:modified xsi:type="dcterms:W3CDTF">2025-01-22T06:38:10Z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C1ADAC34FB724942AC800192E9DFCC49_13</vt:lpwstr>
  </property>
  <property fmtid="{D5CDD505-2E9C-101B-9397-08002B2CF9AE}" pid="4" name="KSOTemplateDocerSaveRecord">
    <vt:lpwstr>eyJoZGlkIjoiMWU3NjI5NDQ0MDI5OTg0MTZjYTM5NDc1ZDQ2MzA3ZDEiLCJ1c2VySWQiOiIyNTYzNTA0MzMifQ==</vt:lpwstr>
  </property>
</Properties>
</file>