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DB1C8">
      <w:pPr>
        <w:pageBreakBefore w:val="0"/>
        <w:kinsoku/>
        <w:wordWrap/>
        <w:overflowPunct/>
        <w:topLinePunct w:val="0"/>
        <w:autoSpaceDE/>
        <w:autoSpaceDN/>
        <w:bidi w:val="0"/>
        <w:spacing w:line="560" w:lineRule="exact"/>
        <w:ind w:left="0" w:leftChars="0" w:right="0" w:firstLine="640" w:firstLineChars="200"/>
        <w:jc w:val="left"/>
        <w:textAlignment w:val="auto"/>
        <w:outlineLvl w:val="0"/>
        <w:rPr>
          <w:rFonts w:hint="eastAsia" w:ascii="方正仿宋_GBK" w:hAnsi="方正仿宋_GBK" w:eastAsia="方正仿宋_GBK" w:cs="方正仿宋_GBK"/>
          <w:sz w:val="32"/>
          <w:szCs w:val="32"/>
          <w:lang w:eastAsia="zh-CN"/>
        </w:rPr>
      </w:pPr>
    </w:p>
    <w:p w14:paraId="22AE9E38">
      <w:pPr>
        <w:pageBreakBefore w:val="0"/>
        <w:kinsoku/>
        <w:wordWrap/>
        <w:overflowPunct/>
        <w:topLinePunct w:val="0"/>
        <w:autoSpaceDE/>
        <w:autoSpaceDN/>
        <w:bidi w:val="0"/>
        <w:spacing w:line="580" w:lineRule="exact"/>
        <w:jc w:val="center"/>
        <w:textAlignment w:val="auto"/>
        <w:rPr>
          <w:rFonts w:ascii="宋体" w:hAnsi="宋体" w:cs="宋体"/>
          <w:sz w:val="32"/>
        </w:rPr>
      </w:pPr>
    </w:p>
    <w:p w14:paraId="4B440883">
      <w:pPr>
        <w:pageBreakBefore w:val="0"/>
        <w:kinsoku/>
        <w:wordWrap/>
        <w:overflowPunct/>
        <w:topLinePunct w:val="0"/>
        <w:autoSpaceDE/>
        <w:autoSpaceDN/>
        <w:bidi w:val="0"/>
        <w:spacing w:line="580" w:lineRule="exact"/>
        <w:jc w:val="center"/>
        <w:textAlignment w:val="auto"/>
        <w:rPr>
          <w:rFonts w:ascii="宋体" w:hAnsi="宋体" w:cs="宋体"/>
          <w:sz w:val="32"/>
        </w:rPr>
      </w:pPr>
    </w:p>
    <w:p w14:paraId="0F41148B">
      <w:pPr>
        <w:pageBreakBefore w:val="0"/>
        <w:kinsoku/>
        <w:wordWrap/>
        <w:overflowPunct/>
        <w:topLinePunct w:val="0"/>
        <w:autoSpaceDE/>
        <w:autoSpaceDN/>
        <w:bidi w:val="0"/>
        <w:spacing w:line="580" w:lineRule="exact"/>
        <w:jc w:val="center"/>
        <w:textAlignment w:val="auto"/>
        <w:rPr>
          <w:rFonts w:ascii="宋体" w:hAnsi="宋体" w:cs="宋体"/>
          <w:sz w:val="32"/>
        </w:rPr>
      </w:pPr>
    </w:p>
    <w:p w14:paraId="766D8397">
      <w:pPr>
        <w:pageBreakBefore w:val="0"/>
        <w:kinsoku/>
        <w:wordWrap/>
        <w:overflowPunct/>
        <w:topLinePunct w:val="0"/>
        <w:autoSpaceDE/>
        <w:autoSpaceDN/>
        <w:bidi w:val="0"/>
        <w:spacing w:line="580" w:lineRule="exact"/>
        <w:jc w:val="center"/>
        <w:textAlignment w:val="auto"/>
        <w:rPr>
          <w:rFonts w:ascii="宋体" w:hAnsi="宋体" w:cs="宋体"/>
          <w:sz w:val="32"/>
        </w:rPr>
      </w:pPr>
    </w:p>
    <w:p w14:paraId="454FC5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黑体_GBK" w:hAnsi="方正黑体_GBK" w:eastAsia="方正黑体_GBK" w:cs="方正黑体_GBK"/>
          <w:sz w:val="112"/>
          <w:szCs w:val="112"/>
          <w:lang w:eastAsia="zh-CN"/>
        </w:rPr>
      </w:pPr>
      <w:r>
        <w:rPr>
          <w:rFonts w:hint="eastAsia" w:ascii="方正黑体_GBK" w:hAnsi="方正黑体_GBK" w:eastAsia="方正黑体_GBK" w:cs="方正黑体_GBK"/>
          <w:sz w:val="112"/>
          <w:szCs w:val="112"/>
          <w:lang w:val="en-US" w:eastAsia="zh-CN"/>
        </w:rPr>
        <w:t>竞争性磋商</w:t>
      </w:r>
      <w:r>
        <w:rPr>
          <w:rFonts w:hint="eastAsia" w:ascii="方正黑体_GBK" w:hAnsi="方正黑体_GBK" w:eastAsia="方正黑体_GBK" w:cs="方正黑体_GBK"/>
          <w:sz w:val="112"/>
          <w:szCs w:val="112"/>
          <w:lang w:eastAsia="zh-CN"/>
        </w:rPr>
        <w:t>文件</w:t>
      </w:r>
    </w:p>
    <w:p w14:paraId="4B071FB6">
      <w:pPr>
        <w:pageBreakBefore w:val="0"/>
        <w:kinsoku/>
        <w:wordWrap/>
        <w:overflowPunct/>
        <w:topLinePunct w:val="0"/>
        <w:autoSpaceDE/>
        <w:autoSpaceDN/>
        <w:bidi w:val="0"/>
        <w:spacing w:line="580" w:lineRule="exact"/>
        <w:jc w:val="center"/>
        <w:textAlignment w:val="auto"/>
        <w:rPr>
          <w:rFonts w:ascii="宋体" w:hAnsi="宋体" w:cs="宋体"/>
          <w:sz w:val="30"/>
          <w:szCs w:val="30"/>
        </w:rPr>
      </w:pPr>
    </w:p>
    <w:p w14:paraId="6F35A688">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7F90E159">
      <w:pPr>
        <w:pageBreakBefore w:val="0"/>
        <w:kinsoku/>
        <w:wordWrap/>
        <w:overflowPunct/>
        <w:topLinePunct w:val="0"/>
        <w:autoSpaceDE/>
        <w:autoSpaceDN/>
        <w:bidi w:val="0"/>
        <w:spacing w:line="580" w:lineRule="exact"/>
        <w:jc w:val="both"/>
        <w:textAlignment w:val="auto"/>
        <w:rPr>
          <w:rFonts w:eastAsia="方正小标宋_GBK"/>
          <w:color w:val="auto"/>
          <w:sz w:val="36"/>
          <w:szCs w:val="30"/>
        </w:rPr>
      </w:pPr>
    </w:p>
    <w:p w14:paraId="5664BBF7">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76F3998A">
      <w:pPr>
        <w:pageBreakBefore w:val="0"/>
        <w:kinsoku/>
        <w:wordWrap/>
        <w:overflowPunct/>
        <w:topLinePunct w:val="0"/>
        <w:autoSpaceDE/>
        <w:autoSpaceDN/>
        <w:bidi w:val="0"/>
        <w:spacing w:line="580" w:lineRule="exact"/>
        <w:jc w:val="center"/>
        <w:textAlignment w:val="auto"/>
        <w:rPr>
          <w:rFonts w:hint="eastAsia" w:eastAsia="方正小标宋_GBK"/>
          <w:color w:val="auto"/>
          <w:sz w:val="36"/>
          <w:szCs w:val="30"/>
          <w:lang w:val="en-US" w:eastAsia="zh-CN"/>
        </w:rPr>
      </w:pPr>
      <w:r>
        <w:rPr>
          <w:rFonts w:eastAsia="方正小标宋_GBK"/>
          <w:color w:val="auto"/>
          <w:sz w:val="36"/>
          <w:szCs w:val="30"/>
        </w:rPr>
        <w:t>项目名称：</w:t>
      </w:r>
      <w:r>
        <w:rPr>
          <w:rFonts w:hint="eastAsia" w:eastAsia="方正小标宋_GBK"/>
          <w:color w:val="auto"/>
          <w:sz w:val="36"/>
          <w:szCs w:val="30"/>
          <w:lang w:val="en-US" w:eastAsia="zh-CN"/>
        </w:rPr>
        <w:t>肿瘤科科普宣传及个人IP账号运营服务项目（第二次）</w:t>
      </w:r>
    </w:p>
    <w:p w14:paraId="39C182B1">
      <w:pPr>
        <w:pageBreakBefore w:val="0"/>
        <w:kinsoku/>
        <w:wordWrap/>
        <w:overflowPunct/>
        <w:topLinePunct w:val="0"/>
        <w:autoSpaceDE/>
        <w:autoSpaceDN/>
        <w:bidi w:val="0"/>
        <w:spacing w:line="580" w:lineRule="exact"/>
        <w:jc w:val="center"/>
        <w:textAlignment w:val="auto"/>
        <w:rPr>
          <w:rFonts w:hint="default" w:eastAsia="方正小标宋_GBK"/>
          <w:color w:val="auto"/>
          <w:sz w:val="36"/>
          <w:szCs w:val="30"/>
          <w:lang w:val="en-US"/>
        </w:rPr>
      </w:pPr>
      <w:r>
        <w:rPr>
          <w:rFonts w:hint="eastAsia" w:eastAsia="方正小标宋_GBK"/>
          <w:color w:val="auto"/>
          <w:sz w:val="36"/>
          <w:szCs w:val="30"/>
          <w:lang w:val="en-US" w:eastAsia="zh-CN"/>
        </w:rPr>
        <w:t>项目</w:t>
      </w:r>
      <w:r>
        <w:rPr>
          <w:rFonts w:eastAsia="方正小标宋_GBK"/>
          <w:color w:val="auto"/>
          <w:sz w:val="36"/>
          <w:szCs w:val="30"/>
        </w:rPr>
        <w:t>编号：</w:t>
      </w:r>
      <w:r>
        <w:rPr>
          <w:rFonts w:hint="default" w:eastAsia="方正小标宋_GBK"/>
          <w:color w:val="auto"/>
          <w:sz w:val="36"/>
          <w:szCs w:val="30"/>
          <w:lang w:val="en-US" w:eastAsia="zh-CN"/>
        </w:rPr>
        <w:t>QJZXYYCG-2026-25</w:t>
      </w:r>
    </w:p>
    <w:p w14:paraId="2B07F831">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04C2BB71">
      <w:pPr>
        <w:pStyle w:val="2"/>
      </w:pPr>
    </w:p>
    <w:p w14:paraId="0B2DFFCB">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3F6C3F8F">
      <w:pPr>
        <w:pageBreakBefore w:val="0"/>
        <w:kinsoku/>
        <w:wordWrap/>
        <w:overflowPunct/>
        <w:topLinePunct w:val="0"/>
        <w:autoSpaceDE/>
        <w:autoSpaceDN/>
        <w:bidi w:val="0"/>
        <w:spacing w:line="580" w:lineRule="exact"/>
        <w:jc w:val="center"/>
        <w:textAlignment w:val="auto"/>
        <w:rPr>
          <w:rFonts w:eastAsia="方正小标宋_GBK"/>
          <w:b/>
          <w:color w:val="auto"/>
          <w:sz w:val="32"/>
          <w:szCs w:val="32"/>
        </w:rPr>
      </w:pPr>
      <w:r>
        <w:rPr>
          <w:rFonts w:eastAsia="方正小标宋_GBK"/>
          <w:color w:val="auto"/>
          <w:sz w:val="36"/>
          <w:szCs w:val="30"/>
        </w:rPr>
        <w:t>采购人：重庆市黔江中心医院</w:t>
      </w:r>
    </w:p>
    <w:p w14:paraId="36319840">
      <w:pPr>
        <w:pageBreakBefore w:val="0"/>
        <w:kinsoku/>
        <w:wordWrap/>
        <w:overflowPunct/>
        <w:topLinePunct w:val="0"/>
        <w:autoSpaceDE/>
        <w:autoSpaceDN/>
        <w:bidi w:val="0"/>
        <w:spacing w:line="580" w:lineRule="exact"/>
        <w:ind w:firstLine="1950" w:firstLineChars="650"/>
        <w:textAlignment w:val="auto"/>
        <w:outlineLvl w:val="0"/>
        <w:rPr>
          <w:rFonts w:ascii="方正小标宋_GBK" w:hAnsi="宋体" w:eastAsia="方正小标宋_GBK"/>
          <w:sz w:val="30"/>
          <w:szCs w:val="30"/>
        </w:rPr>
      </w:pPr>
    </w:p>
    <w:p w14:paraId="39FD61BD">
      <w:pPr>
        <w:pageBreakBefore w:val="0"/>
        <w:kinsoku/>
        <w:wordWrap/>
        <w:overflowPunct/>
        <w:topLinePunct w:val="0"/>
        <w:autoSpaceDE/>
        <w:autoSpaceDN/>
        <w:bidi w:val="0"/>
        <w:spacing w:line="580" w:lineRule="exact"/>
        <w:jc w:val="center"/>
        <w:textAlignment w:val="auto"/>
        <w:outlineLvl w:val="0"/>
        <w:rPr>
          <w:rFonts w:hint="eastAsia" w:ascii="方正小标宋_GBK" w:hAnsi="宋体" w:eastAsia="方正小标宋_GBK"/>
          <w:sz w:val="30"/>
          <w:szCs w:val="30"/>
        </w:rPr>
      </w:pPr>
      <w:r>
        <w:rPr>
          <w:rFonts w:hint="eastAsia" w:ascii="方正小标宋_GBK" w:hAnsi="宋体" w:eastAsia="方正小标宋_GBK"/>
          <w:sz w:val="30"/>
          <w:szCs w:val="30"/>
        </w:rPr>
        <w:t>二〇二</w:t>
      </w:r>
      <w:r>
        <w:rPr>
          <w:rFonts w:hint="eastAsia" w:ascii="方正小标宋_GBK" w:hAnsi="宋体" w:eastAsia="方正小标宋_GBK"/>
          <w:sz w:val="30"/>
          <w:szCs w:val="30"/>
          <w:lang w:val="en-US" w:eastAsia="zh-CN"/>
        </w:rPr>
        <w:t>六</w:t>
      </w:r>
      <w:r>
        <w:rPr>
          <w:rFonts w:hint="eastAsia" w:ascii="方正小标宋_GBK" w:hAnsi="宋体" w:eastAsia="方正小标宋_GBK"/>
          <w:sz w:val="30"/>
          <w:szCs w:val="30"/>
        </w:rPr>
        <w:t>年</w:t>
      </w:r>
      <w:r>
        <w:rPr>
          <w:rFonts w:hint="eastAsia" w:ascii="方正小标宋_GBK" w:hAnsi="宋体" w:eastAsia="方正小标宋_GBK"/>
          <w:sz w:val="30"/>
          <w:szCs w:val="30"/>
          <w:lang w:val="en-US" w:eastAsia="zh-CN"/>
        </w:rPr>
        <w:t>八</w:t>
      </w:r>
      <w:r>
        <w:rPr>
          <w:rFonts w:hint="eastAsia" w:ascii="方正小标宋_GBK" w:hAnsi="宋体" w:eastAsia="方正小标宋_GBK"/>
          <w:sz w:val="30"/>
          <w:szCs w:val="30"/>
        </w:rPr>
        <w:t>月</w:t>
      </w:r>
    </w:p>
    <w:p w14:paraId="7A771D14">
      <w:pPr>
        <w:pStyle w:val="7"/>
      </w:pPr>
    </w:p>
    <w:p w14:paraId="6E906857">
      <w:pPr>
        <w:pageBreakBefore w:val="0"/>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rPr>
      </w:pPr>
      <w:bookmarkStart w:id="0" w:name="_Toc8103"/>
      <w:bookmarkStart w:id="1" w:name="_Toc14209"/>
      <w:bookmarkStart w:id="2" w:name="_Toc1383"/>
      <w:bookmarkStart w:id="3" w:name="_Toc18714"/>
      <w:bookmarkStart w:id="4" w:name="_Toc11641050"/>
      <w:bookmarkStart w:id="5" w:name="_Toc30212"/>
      <w:bookmarkStart w:id="6" w:name="_Toc12789052"/>
      <w:bookmarkStart w:id="7" w:name="_Toc29801"/>
      <w:bookmarkStart w:id="8" w:name="_Toc76462316"/>
      <w:bookmarkStart w:id="9" w:name="_Toc32565"/>
      <w:bookmarkStart w:id="10" w:name="_Toc1105"/>
      <w:bookmarkStart w:id="11" w:name="_Toc32257"/>
      <w:bookmarkStart w:id="12" w:name="_Toc4987"/>
      <w:bookmarkStart w:id="13" w:name="_Toc14301"/>
      <w:bookmarkStart w:id="14" w:name="_Toc14103"/>
      <w:bookmarkStart w:id="15" w:name="_Toc2132"/>
      <w:bookmarkStart w:id="16" w:name="_Toc10824"/>
      <w:bookmarkStart w:id="17" w:name="_Toc10331"/>
      <w:bookmarkStart w:id="18" w:name="_Toc25898"/>
      <w:bookmarkStart w:id="19" w:name="_Toc1093"/>
      <w:bookmarkStart w:id="20" w:name="_Toc10404"/>
      <w:r>
        <w:rPr>
          <w:rFonts w:hint="eastAsia" w:ascii="方正黑体_GBK" w:hAnsi="方正黑体_GBK" w:eastAsia="方正黑体_GBK" w:cs="方正黑体_GBK"/>
          <w:b w:val="0"/>
          <w:bCs w:val="0"/>
          <w:sz w:val="32"/>
          <w:szCs w:val="32"/>
        </w:rPr>
        <w:br w:type="page"/>
      </w:r>
    </w:p>
    <w:p w14:paraId="298351FC">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一、</w:t>
      </w:r>
      <w:r>
        <w:rPr>
          <w:rFonts w:hint="eastAsia" w:ascii="方正黑体_GBK" w:hAnsi="方正黑体_GBK" w:eastAsia="方正黑体_GBK" w:cs="方正黑体_GBK"/>
          <w:b w:val="0"/>
          <w:bCs w:val="0"/>
          <w:sz w:val="32"/>
          <w:szCs w:val="32"/>
          <w:lang w:val="en-US" w:eastAsia="zh-CN"/>
        </w:rPr>
        <w:t>采购</w:t>
      </w:r>
      <w:r>
        <w:rPr>
          <w:rFonts w:hint="eastAsia" w:ascii="方正黑体_GBK" w:hAnsi="方正黑体_GBK" w:eastAsia="方正黑体_GBK" w:cs="方正黑体_GBK"/>
          <w:b w:val="0"/>
          <w:bCs w:val="0"/>
          <w:sz w:val="32"/>
          <w:szCs w:val="32"/>
        </w:rPr>
        <w:t>内容</w:t>
      </w:r>
      <w:bookmarkEnd w:id="0"/>
    </w:p>
    <w:p w14:paraId="011E2506">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kern w:val="2"/>
          <w:sz w:val="32"/>
          <w:szCs w:val="32"/>
          <w:lang w:val="en-US" w:eastAsia="zh-CN" w:bidi="ar-SA"/>
        </w:rPr>
      </w:pPr>
      <w:bookmarkStart w:id="21" w:name="_Toc15016"/>
      <w:r>
        <w:rPr>
          <w:rFonts w:hint="eastAsia" w:ascii="方正仿宋_GBK" w:hAnsi="方正仿宋_GBK" w:eastAsia="方正仿宋_GBK" w:cs="方正仿宋_GBK"/>
          <w:b w:val="0"/>
          <w:bCs w:val="0"/>
          <w:sz w:val="32"/>
          <w:szCs w:val="32"/>
          <w:lang w:val="en-US" w:eastAsia="zh-CN"/>
        </w:rPr>
        <w:t>重庆市黔江中心医院肿瘤科科普宣传及个人IP账号运营服务项目</w:t>
      </w:r>
    </w:p>
    <w:p w14:paraId="0EFFAE6D">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二、</w:t>
      </w:r>
      <w:r>
        <w:rPr>
          <w:rFonts w:hint="eastAsia" w:ascii="方正黑体_GBK" w:hAnsi="方正黑体_GBK" w:eastAsia="方正黑体_GBK" w:cs="方正黑体_GBK"/>
          <w:b w:val="0"/>
          <w:bCs w:val="0"/>
          <w:sz w:val="32"/>
          <w:szCs w:val="32"/>
          <w:lang w:val="en-US" w:eastAsia="zh-CN"/>
        </w:rPr>
        <w:t>采购</w:t>
      </w:r>
      <w:r>
        <w:rPr>
          <w:rFonts w:hint="eastAsia" w:ascii="方正黑体_GBK" w:hAnsi="方正黑体_GBK" w:eastAsia="方正黑体_GBK" w:cs="方正黑体_GBK"/>
          <w:b w:val="0"/>
          <w:bCs w:val="0"/>
          <w:sz w:val="32"/>
          <w:szCs w:val="32"/>
        </w:rPr>
        <w:t>方式</w:t>
      </w:r>
      <w:bookmarkEnd w:id="21"/>
    </w:p>
    <w:p w14:paraId="6CCD3618">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22" w:name="_Toc28917"/>
      <w:bookmarkStart w:id="23" w:name="_Toc17233"/>
      <w:r>
        <w:rPr>
          <w:rFonts w:hint="eastAsia" w:ascii="方正仿宋_GBK" w:hAnsi="方正仿宋_GBK" w:eastAsia="方正仿宋_GBK" w:cs="方正仿宋_GBK"/>
          <w:b w:val="0"/>
          <w:bCs w:val="0"/>
          <w:sz w:val="32"/>
          <w:szCs w:val="32"/>
        </w:rPr>
        <w:t xml:space="preserve">院内竞争性磋商 </w:t>
      </w:r>
      <w:bookmarkEnd w:id="22"/>
      <w:bookmarkEnd w:id="23"/>
    </w:p>
    <w:p w14:paraId="647B25F9">
      <w:pPr>
        <w:pStyle w:val="3"/>
        <w:pageBreakBefore w:val="0"/>
        <w:numPr>
          <w:ilvl w:val="0"/>
          <w:numId w:val="1"/>
        </w:numPr>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rPr>
      </w:pPr>
      <w:bookmarkStart w:id="24" w:name="_Toc7806"/>
      <w:r>
        <w:rPr>
          <w:rFonts w:hint="eastAsia" w:ascii="方正黑体_GBK" w:hAnsi="方正黑体_GBK" w:eastAsia="方正黑体_GBK" w:cs="方正黑体_GBK"/>
          <w:b w:val="0"/>
          <w:bCs w:val="0"/>
          <w:sz w:val="32"/>
          <w:szCs w:val="32"/>
        </w:rPr>
        <w:t>项目内容及要求</w:t>
      </w:r>
      <w:bookmarkEnd w:id="24"/>
    </w:p>
    <w:p w14:paraId="1257B2C4">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一）项目内容：为我院肿瘤科策划、拍摄、制作并运营肿瘤科医生IP（2个），涵盖选题策划、文案撰写、实景拍摄、后期制作、配音配乐、素材交付等全流程服务，所涉内容全面展示我院肿瘤科的办科理念、特色、历史文化底蕴、学科建设、人才队伍、科研教学成果、医疗服务水平，展示我院肿瘤科良好院区环境和员工的精神风貌等，使社会各界全面、清晰、深刻认识。</w:t>
      </w:r>
    </w:p>
    <w:p w14:paraId="3A3C23D2">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（二）技术要求</w:t>
      </w:r>
    </w:p>
    <w:p w14:paraId="76BEE20F">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主题要求：宣传内容以肿瘤科优质的医疗服务、精湛的技术质量、救治能力水平，画面具有感染力、冲击力，使观众印象深刻。</w:t>
      </w:r>
    </w:p>
    <w:p w14:paraId="4F8BC031">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1.成片规格：单条视频时长3分钟以内，画面比例16:9，分辨率达到全高清1920*1080，帧率保持25fps且全片统一。</w:t>
      </w:r>
    </w:p>
    <w:p w14:paraId="3B58DE0C">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2.脚本撰写：紧扣医院肿瘤科定位及宣传需求，创意新颖、内容详实、贴合医院特色，保证内容原创性，不得抄袭。</w:t>
      </w:r>
    </w:p>
    <w:p w14:paraId="292B35FC">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3.拍摄要求：使用专业级摄影机、广角镜头、专业影视灯光及收音设备实拍。</w:t>
      </w:r>
    </w:p>
    <w:p w14:paraId="4D1151C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4.制作要求：综合运用实拍、影视特效、AI技术等手段；保证画面流畅、色彩和曝光统一，无跳帧、坏帧等问题；配乐选用原创或有合法版权的高品质音乐，音效层次分明，人声突出。</w:t>
      </w:r>
    </w:p>
    <w:p w14:paraId="76203B20">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5.配音字幕：解说词风格凝练自然、贴合医院定位；配备准确无误的文字幕。</w:t>
      </w:r>
    </w:p>
    <w:p w14:paraId="474D738A">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6.成果原创性：项目成品为原创作品，无抄袭、无著作权争议，所用素材（含图片、音乐、视频等）均无版权纠纷。</w:t>
      </w:r>
    </w:p>
    <w:p w14:paraId="3F5A8B8E">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7.交付格式：提供MP4格式成品，适配主流短视频多平台播放（抖音、快手、小红书、视频号等）。</w:t>
      </w:r>
    </w:p>
    <w:p w14:paraId="6D2CF1C6">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（三）其他要求</w:t>
      </w:r>
    </w:p>
    <w:p w14:paraId="30AA9FB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1.服务年限：1年。</w:t>
      </w:r>
    </w:p>
    <w:p w14:paraId="09D9F380">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2.工期要求：该项目持续周期12个月，根据月度计划进展提交成片。</w:t>
      </w:r>
    </w:p>
    <w:p w14:paraId="1B766CC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3.服务地点：采购人指定地点。</w:t>
      </w:r>
    </w:p>
    <w:p w14:paraId="53184948">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4.质保年限：验收合格之日起一年。</w:t>
      </w:r>
    </w:p>
    <w:p w14:paraId="3CD868D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5.验收标准和方法：</w:t>
      </w:r>
    </w:p>
    <w:p w14:paraId="3FCC1BE7">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本项目实行“月度履约验收 ＋ 年度总结验收”两阶段验收机制，年度验收结合全年月度验收情况综合评定，作为尾款支付的最终凭证。</w:t>
      </w:r>
    </w:p>
    <w:p w14:paraId="26697877">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月度履约验收：供应商应按月度提交当月的服务成果，医院在收到验收申请后组织验收。月度验收内容包括：①当月视频成片数量是否达到25条，技术规格（分辨率、帧率、时长等）是否符合采购文件要求；②视频内容是否存在医疗违规宣传或泄露患者隐私的情形，画面、音效、配音、字幕是否达到专业制作水平；③是否按时在抖音、快手、视频号、小红书等平台完成发布。当月度验收合格的，双方签署《月度验收确认单》；验收不合格的，供应商应在5个工作日内根据医院修改意见完成修改并重新提交验收。连续两个月验收不合格的，医院有权暂停合同履行或解除合同，并依法追究供应商违约责任。</w:t>
      </w:r>
    </w:p>
    <w:p w14:paraId="529BAC5C">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年度总结验收：服务期满后10个工作日内，供应商应向医院提交年度总结报告及全部成果文件，医院在收到申请后10个工作日内组织年度总结验收。年度验收结合全年12份《月度验收确认单》，对以下内容进行综合评定：①全年300条视频成片及全部素材是否完整交付；②两个医生IP全年全网净增粉丝总数是否达到1.5万；③全年话题总曝光量是否达到1300万。年度验收合格的，双方签署《年度验收确认书》作为尾款支付凭证；验收不合格的，供应商应在10个工作日内完成整改并重新提交验收。</w:t>
      </w:r>
    </w:p>
    <w:p w14:paraId="663CD497">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6.付款方式：第一阶段（启动与策划）：合同签订后支付70%。第二阶段（验收与交付）：服务期满，出具《年度总结验收报告》且双方无异议后，支付剩余30%。</w:t>
      </w:r>
    </w:p>
    <w:p w14:paraId="3BB8BEF1">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25" w:name="_Toc6931"/>
      <w:r>
        <w:rPr>
          <w:rFonts w:hint="eastAsia" w:ascii="方正黑体_GBK" w:hAnsi="方正黑体_GBK" w:eastAsia="方正黑体_GBK" w:cs="方正黑体_GBK"/>
          <w:b w:val="0"/>
          <w:bCs w:val="0"/>
          <w:sz w:val="32"/>
          <w:szCs w:val="32"/>
        </w:rPr>
        <w:t>四、评分方法</w:t>
      </w:r>
      <w:bookmarkEnd w:id="25"/>
    </w:p>
    <w:p w14:paraId="42FF1AF2">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color w:val="auto"/>
          <w:sz w:val="32"/>
          <w:szCs w:val="32"/>
        </w:rPr>
      </w:pPr>
      <w:bookmarkStart w:id="26" w:name="_Toc12540"/>
      <w:bookmarkStart w:id="27" w:name="_Toc14175"/>
      <w:r>
        <w:rPr>
          <w:rFonts w:hint="eastAsia" w:ascii="方正仿宋_GBK" w:hAnsi="方正仿宋_GBK" w:eastAsia="方正仿宋_GBK" w:cs="方正仿宋_GBK"/>
          <w:b w:val="0"/>
          <w:bCs w:val="0"/>
          <w:color w:val="auto"/>
          <w:sz w:val="32"/>
          <w:szCs w:val="32"/>
        </w:rPr>
        <w:t>本项目采取综合评分法进行评标</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评标标准为 : 价格部分</w:t>
      </w: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rPr>
        <w:t>0分</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技术</w:t>
      </w:r>
      <w:r>
        <w:rPr>
          <w:rFonts w:hint="eastAsia" w:ascii="方正仿宋_GBK" w:hAnsi="方正仿宋_GBK" w:eastAsia="方正仿宋_GBK" w:cs="方正仿宋_GBK"/>
          <w:b w:val="0"/>
          <w:bCs w:val="0"/>
          <w:color w:val="auto"/>
          <w:sz w:val="32"/>
          <w:szCs w:val="32"/>
        </w:rPr>
        <w:t>部分</w:t>
      </w:r>
      <w:r>
        <w:rPr>
          <w:rFonts w:hint="eastAsia" w:ascii="方正仿宋_GBK" w:hAnsi="方正仿宋_GBK" w:eastAsia="方正仿宋_GBK" w:cs="方正仿宋_GBK"/>
          <w:b w:val="0"/>
          <w:bCs w:val="0"/>
          <w:color w:val="auto"/>
          <w:sz w:val="32"/>
          <w:szCs w:val="32"/>
          <w:lang w:val="en-US" w:eastAsia="zh-CN"/>
        </w:rPr>
        <w:t>65</w:t>
      </w:r>
      <w:r>
        <w:rPr>
          <w:rFonts w:hint="eastAsia" w:ascii="方正仿宋_GBK" w:hAnsi="方正仿宋_GBK" w:eastAsia="方正仿宋_GBK" w:cs="方正仿宋_GBK"/>
          <w:b w:val="0"/>
          <w:bCs w:val="0"/>
          <w:color w:val="auto"/>
          <w:sz w:val="32"/>
          <w:szCs w:val="32"/>
        </w:rPr>
        <w:t>分</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商务部分</w:t>
      </w:r>
      <w:r>
        <w:rPr>
          <w:rFonts w:hint="eastAsia" w:ascii="方正仿宋_GBK" w:hAnsi="方正仿宋_GBK" w:eastAsia="方正仿宋_GBK" w:cs="方正仿宋_GBK"/>
          <w:b w:val="0"/>
          <w:bCs w:val="0"/>
          <w:color w:val="auto"/>
          <w:sz w:val="32"/>
          <w:szCs w:val="32"/>
          <w:lang w:val="en-US" w:eastAsia="zh-CN"/>
        </w:rPr>
        <w:t>15</w:t>
      </w:r>
      <w:r>
        <w:rPr>
          <w:rFonts w:hint="eastAsia" w:ascii="方正仿宋_GBK" w:hAnsi="方正仿宋_GBK" w:eastAsia="方正仿宋_GBK" w:cs="方正仿宋_GBK"/>
          <w:b w:val="0"/>
          <w:bCs w:val="0"/>
          <w:color w:val="auto"/>
          <w:sz w:val="32"/>
          <w:szCs w:val="32"/>
        </w:rPr>
        <w:t>分</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总分100分</w:t>
      </w:r>
      <w:r>
        <w:rPr>
          <w:rFonts w:hint="eastAsia" w:ascii="方正仿宋_GBK" w:hAnsi="方正仿宋_GBK" w:eastAsia="方正仿宋_GBK" w:cs="方正仿宋_GBK"/>
          <w:b w:val="0"/>
          <w:bCs w:val="0"/>
          <w:color w:val="auto"/>
          <w:sz w:val="32"/>
          <w:szCs w:val="32"/>
        </w:rPr>
        <w:t>。</w:t>
      </w:r>
      <w:bookmarkEnd w:id="26"/>
      <w:bookmarkEnd w:id="27"/>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983"/>
        <w:gridCol w:w="541"/>
        <w:gridCol w:w="736"/>
        <w:gridCol w:w="4483"/>
        <w:gridCol w:w="2257"/>
      </w:tblGrid>
      <w:tr w14:paraId="5E83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28" w:type="dxa"/>
            <w:noWrap w:val="0"/>
            <w:vAlign w:val="center"/>
          </w:tcPr>
          <w:p w14:paraId="24049E4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序号</w:t>
            </w:r>
          </w:p>
        </w:tc>
        <w:tc>
          <w:tcPr>
            <w:tcW w:w="1524" w:type="dxa"/>
            <w:gridSpan w:val="2"/>
            <w:noWrap w:val="0"/>
            <w:vAlign w:val="center"/>
          </w:tcPr>
          <w:p w14:paraId="05E6B30A">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评分因素及权值</w:t>
            </w:r>
          </w:p>
        </w:tc>
        <w:tc>
          <w:tcPr>
            <w:tcW w:w="736" w:type="dxa"/>
            <w:noWrap w:val="0"/>
            <w:vAlign w:val="center"/>
          </w:tcPr>
          <w:p w14:paraId="7C21D3A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分值</w:t>
            </w:r>
          </w:p>
        </w:tc>
        <w:tc>
          <w:tcPr>
            <w:tcW w:w="4483" w:type="dxa"/>
            <w:noWrap w:val="0"/>
            <w:vAlign w:val="center"/>
          </w:tcPr>
          <w:p w14:paraId="5EC3A9F7">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评分标准</w:t>
            </w:r>
          </w:p>
        </w:tc>
        <w:tc>
          <w:tcPr>
            <w:tcW w:w="2257" w:type="dxa"/>
            <w:noWrap w:val="0"/>
            <w:vAlign w:val="center"/>
          </w:tcPr>
          <w:p w14:paraId="34A2D482">
            <w:pPr>
              <w:pStyle w:val="11"/>
              <w:keepNext w:val="0"/>
              <w:keepLines w:val="0"/>
              <w:pageBreakBefore w:val="0"/>
              <w:widowControl w:val="0"/>
              <w:kinsoku/>
              <w:wordWrap/>
              <w:overflowPunct/>
              <w:topLinePunct w:val="0"/>
              <w:autoSpaceDE/>
              <w:autoSpaceDN/>
              <w:bidi w:val="0"/>
              <w:adjustRightInd/>
              <w:snapToGrid/>
              <w:spacing w:before="0" w:after="0" w:line="400" w:lineRule="exact"/>
              <w:ind w:left="0" w:firstLine="0" w:firstLineChars="0"/>
              <w:jc w:val="center"/>
              <w:textAlignment w:val="auto"/>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说明</w:t>
            </w:r>
          </w:p>
        </w:tc>
      </w:tr>
      <w:tr w14:paraId="7D89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dxa"/>
            <w:noWrap w:val="0"/>
            <w:vAlign w:val="center"/>
          </w:tcPr>
          <w:p w14:paraId="01B6651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524" w:type="dxa"/>
            <w:gridSpan w:val="2"/>
            <w:noWrap w:val="0"/>
            <w:vAlign w:val="center"/>
          </w:tcPr>
          <w:p w14:paraId="11A614B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报价</w:t>
            </w:r>
          </w:p>
          <w:p w14:paraId="5B75FF8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20</w:t>
            </w:r>
            <w:r>
              <w:rPr>
                <w:rFonts w:hint="eastAsia" w:ascii="方正仿宋_GBK" w:hAnsi="方正仿宋_GBK" w:eastAsia="方正仿宋_GBK" w:cs="方正仿宋_GBK"/>
                <w:sz w:val="24"/>
                <w:szCs w:val="24"/>
              </w:rPr>
              <w:t>%）</w:t>
            </w:r>
          </w:p>
        </w:tc>
        <w:tc>
          <w:tcPr>
            <w:tcW w:w="736" w:type="dxa"/>
            <w:noWrap w:val="0"/>
            <w:vAlign w:val="center"/>
          </w:tcPr>
          <w:p w14:paraId="309CF76E">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20</w:t>
            </w:r>
          </w:p>
        </w:tc>
        <w:tc>
          <w:tcPr>
            <w:tcW w:w="4483" w:type="dxa"/>
            <w:noWrap w:val="0"/>
            <w:vAlign w:val="center"/>
          </w:tcPr>
          <w:p w14:paraId="5F05112C">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以满足采购需求且报价最低的供应商报价为评标基准价，价格得分=（评标基准价/供应商报价）×20，保留两位小数。</w:t>
            </w:r>
          </w:p>
        </w:tc>
        <w:tc>
          <w:tcPr>
            <w:tcW w:w="2257" w:type="dxa"/>
            <w:noWrap w:val="0"/>
            <w:vAlign w:val="center"/>
          </w:tcPr>
          <w:p w14:paraId="3EE46B5F">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r>
      <w:tr w14:paraId="7665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dxa"/>
            <w:vMerge w:val="restart"/>
            <w:noWrap w:val="0"/>
            <w:vAlign w:val="center"/>
          </w:tcPr>
          <w:p w14:paraId="02B4DFFF">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983" w:type="dxa"/>
            <w:vMerge w:val="restart"/>
            <w:noWrap w:val="0"/>
            <w:vAlign w:val="center"/>
          </w:tcPr>
          <w:p w14:paraId="2BFF932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lang w:val="en-US" w:eastAsia="zh-CN"/>
              </w:rPr>
              <w:t>技术部分（65分）</w:t>
            </w:r>
          </w:p>
        </w:tc>
        <w:tc>
          <w:tcPr>
            <w:tcW w:w="541" w:type="dxa"/>
            <w:noWrap w:val="0"/>
            <w:vAlign w:val="center"/>
          </w:tcPr>
          <w:p w14:paraId="03D86C65">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团队配置</w:t>
            </w:r>
          </w:p>
        </w:tc>
        <w:tc>
          <w:tcPr>
            <w:tcW w:w="736" w:type="dxa"/>
            <w:noWrap w:val="0"/>
            <w:vAlign w:val="center"/>
          </w:tcPr>
          <w:p w14:paraId="7DEFFFC9">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30</w:t>
            </w:r>
          </w:p>
        </w:tc>
        <w:tc>
          <w:tcPr>
            <w:tcW w:w="4483" w:type="dxa"/>
            <w:noWrap w:val="0"/>
            <w:vAlign w:val="center"/>
          </w:tcPr>
          <w:p w14:paraId="5CE58A87">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项目团队人员专业资质齐全、经验丰富，</w:t>
            </w:r>
          </w:p>
          <w:p w14:paraId="19BDF45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公司属于医疗健康垂类专业MCN机构，医生IP运营业务开展3年以上，且成功独立运营公立医院医生IP帐号20+（得5分）；2025年运营账号粉丝量突破10万+账号≥1个（得5分）；全网播放量突破1亿+账号≥1个（得5分）。</w:t>
            </w:r>
          </w:p>
          <w:p w14:paraId="2C14199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（2）团队配置：团队负责人从事媒体宣传/新媒体宣传15年以上，拥有专业编导（医学背景）、摄像师、剪辑师、数据运营等专业人员得10分；</w:t>
            </w:r>
          </w:p>
          <w:p w14:paraId="028D2AD4">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（3）拥有拍摄、编辑、撰稿、字幕、配音等专业人员5人以上得3分；</w:t>
            </w:r>
          </w:p>
          <w:p w14:paraId="18F6384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（4）拥有专业级摄影机、广角镜头、无人机、专业影视灯光及收音设备等得2分。</w:t>
            </w:r>
          </w:p>
        </w:tc>
        <w:tc>
          <w:tcPr>
            <w:tcW w:w="2257" w:type="dxa"/>
            <w:noWrap w:val="0"/>
            <w:vAlign w:val="center"/>
          </w:tcPr>
          <w:p w14:paraId="73A3660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需提供人员清单及社保证明并加盖公章；设备以图片配简要文字说明</w:t>
            </w:r>
          </w:p>
        </w:tc>
      </w:tr>
      <w:tr w14:paraId="7C97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5" w:hRule="atLeast"/>
        </w:trPr>
        <w:tc>
          <w:tcPr>
            <w:tcW w:w="628" w:type="dxa"/>
            <w:vMerge w:val="continue"/>
            <w:noWrap w:val="0"/>
            <w:vAlign w:val="center"/>
          </w:tcPr>
          <w:p w14:paraId="7183E3F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continue"/>
            <w:noWrap w:val="0"/>
            <w:vAlign w:val="center"/>
          </w:tcPr>
          <w:p w14:paraId="1E9381B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color w:val="0000FF"/>
                <w:sz w:val="24"/>
                <w:szCs w:val="24"/>
              </w:rPr>
            </w:pPr>
          </w:p>
        </w:tc>
        <w:tc>
          <w:tcPr>
            <w:tcW w:w="541" w:type="dxa"/>
            <w:noWrap w:val="0"/>
            <w:vAlign w:val="center"/>
          </w:tcPr>
          <w:p w14:paraId="36C68807">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策划创意</w:t>
            </w:r>
          </w:p>
        </w:tc>
        <w:tc>
          <w:tcPr>
            <w:tcW w:w="736" w:type="dxa"/>
            <w:noWrap w:val="0"/>
            <w:vAlign w:val="center"/>
          </w:tcPr>
          <w:p w14:paraId="0B56A9A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20</w:t>
            </w:r>
          </w:p>
        </w:tc>
        <w:tc>
          <w:tcPr>
            <w:tcW w:w="4483" w:type="dxa"/>
            <w:noWrap w:val="0"/>
            <w:vAlign w:val="center"/>
          </w:tcPr>
          <w:p w14:paraId="7380327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策划创意方案紧扣肿瘤科定位及宣传需求，创意新颖、内容详实、主题突出、符合医院特色：</w:t>
            </w:r>
          </w:p>
          <w:p w14:paraId="0EECD7E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s="Times New Roman"/>
                <w:color w:val="000000"/>
                <w:kern w:val="2"/>
                <w:sz w:val="24"/>
                <w:szCs w:val="24"/>
                <w:lang w:val="en-US" w:eastAsia="zh-CN" w:bidi="ar-SA"/>
              </w:rPr>
              <w:t>（1）</w:t>
            </w:r>
            <w:r>
              <w:rPr>
                <w:rFonts w:hint="eastAsia" w:ascii="方正仿宋_GBK" w:hAnsi="宋体" w:eastAsia="方正仿宋_GBK"/>
                <w:color w:val="000000"/>
                <w:sz w:val="24"/>
                <w:szCs w:val="24"/>
                <w:lang w:val="en-US" w:eastAsia="zh-CN"/>
              </w:rPr>
              <w:t>策划方案</w:t>
            </w:r>
            <w:r>
              <w:rPr>
                <w:rFonts w:hint="eastAsia" w:ascii="方正仿宋_GBK" w:hAnsi="宋体" w:eastAsia="方正仿宋_GBK"/>
                <w:color w:val="000000"/>
                <w:sz w:val="24"/>
                <w:szCs w:val="24"/>
              </w:rPr>
              <w:t>创意新颖，</w:t>
            </w:r>
            <w:r>
              <w:rPr>
                <w:rFonts w:hint="eastAsia" w:ascii="方正仿宋_GBK" w:hAnsi="宋体" w:eastAsia="方正仿宋_GBK"/>
                <w:color w:val="000000"/>
                <w:sz w:val="24"/>
                <w:szCs w:val="24"/>
                <w:lang w:val="en-US" w:eastAsia="zh-CN"/>
              </w:rPr>
              <w:t>内容详实，</w:t>
            </w:r>
            <w:r>
              <w:rPr>
                <w:rFonts w:hint="eastAsia" w:ascii="方正仿宋_GBK" w:hAnsi="宋体" w:eastAsia="方正仿宋_GBK"/>
                <w:color w:val="000000"/>
                <w:sz w:val="24"/>
                <w:szCs w:val="24"/>
              </w:rPr>
              <w:t>主题突出，内容与形式合理</w:t>
            </w:r>
            <w:r>
              <w:rPr>
                <w:rFonts w:hint="eastAsia" w:ascii="方正仿宋_GBK" w:hAnsi="宋体" w:eastAsia="方正仿宋_GBK"/>
                <w:color w:val="000000"/>
                <w:sz w:val="24"/>
                <w:szCs w:val="24"/>
                <w:lang w:val="en-US" w:eastAsia="zh-CN"/>
              </w:rPr>
              <w:t>且</w:t>
            </w:r>
            <w:r>
              <w:rPr>
                <w:rFonts w:hint="eastAsia" w:ascii="方正仿宋_GBK" w:hAnsi="宋体" w:eastAsia="方正仿宋_GBK"/>
                <w:color w:val="000000"/>
                <w:sz w:val="24"/>
                <w:szCs w:val="24"/>
              </w:rPr>
              <w:t>统一的</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播放量5万以上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得20分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1016247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rPr>
              <w:t>（2）</w:t>
            </w:r>
            <w:r>
              <w:rPr>
                <w:rFonts w:hint="eastAsia" w:ascii="方正仿宋_GBK" w:hAnsi="宋体" w:eastAsia="方正仿宋_GBK"/>
                <w:color w:val="000000"/>
                <w:sz w:val="24"/>
                <w:szCs w:val="24"/>
                <w:lang w:val="en-US" w:eastAsia="zh-CN"/>
              </w:rPr>
              <w:t>策划方案创意较新颖，内容较详实，</w:t>
            </w:r>
            <w:r>
              <w:rPr>
                <w:rFonts w:hint="eastAsia" w:ascii="方正仿宋_GBK" w:hAnsi="宋体" w:eastAsia="方正仿宋_GBK"/>
                <w:color w:val="000000"/>
                <w:sz w:val="24"/>
                <w:szCs w:val="24"/>
              </w:rPr>
              <w:t>主题突出，内容与形式统一</w:t>
            </w:r>
            <w:r>
              <w:rPr>
                <w:rFonts w:hint="eastAsia" w:ascii="方正仿宋_GBK" w:hAnsi="宋体" w:eastAsia="方正仿宋_GBK"/>
                <w:color w:val="000000"/>
                <w:sz w:val="24"/>
                <w:szCs w:val="24"/>
                <w:lang w:val="en-US" w:eastAsia="zh-CN"/>
              </w:rPr>
              <w:t>的</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w:t>
            </w:r>
            <w:r>
              <w:rPr>
                <w:rFonts w:hint="eastAsia" w:ascii="方正仿宋_GBK" w:hAnsi="宋体" w:eastAsia="方正仿宋_GBK"/>
                <w:color w:val="000000"/>
                <w:sz w:val="24"/>
                <w:szCs w:val="24"/>
                <w:lang w:val="en-US" w:eastAsia="zh-CN"/>
              </w:rPr>
              <w:t>3</w:t>
            </w:r>
            <w:r>
              <w:rPr>
                <w:rFonts w:hint="eastAsia" w:ascii="方正仿宋_GBK" w:hAnsi="宋体" w:eastAsia="方正仿宋_GBK"/>
                <w:color w:val="000000"/>
                <w:sz w:val="24"/>
                <w:szCs w:val="24"/>
              </w:rPr>
              <w:t>万以上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得15分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5AE457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rPr>
              <w:t>（3）</w:t>
            </w:r>
            <w:r>
              <w:rPr>
                <w:rFonts w:hint="eastAsia" w:ascii="方正仿宋_GBK" w:hAnsi="宋体" w:eastAsia="方正仿宋_GBK"/>
                <w:color w:val="000000"/>
                <w:sz w:val="24"/>
                <w:szCs w:val="24"/>
                <w:lang w:val="en-US" w:eastAsia="zh-CN"/>
              </w:rPr>
              <w:t>策划方案创意一般，</w:t>
            </w:r>
            <w:r>
              <w:rPr>
                <w:rFonts w:hint="eastAsia" w:ascii="方正仿宋_GBK" w:hAnsi="宋体" w:eastAsia="方正仿宋_GBK"/>
                <w:color w:val="000000"/>
                <w:sz w:val="24"/>
                <w:szCs w:val="24"/>
              </w:rPr>
              <w:t>主题</w:t>
            </w:r>
            <w:r>
              <w:rPr>
                <w:rFonts w:hint="eastAsia" w:ascii="方正仿宋_GBK" w:hAnsi="宋体" w:eastAsia="方正仿宋_GBK"/>
                <w:color w:val="000000"/>
                <w:sz w:val="24"/>
                <w:szCs w:val="24"/>
                <w:lang w:val="en-US" w:eastAsia="zh-CN"/>
              </w:rPr>
              <w:t>较</w:t>
            </w:r>
            <w:r>
              <w:rPr>
                <w:rFonts w:hint="eastAsia" w:ascii="方正仿宋_GBK" w:hAnsi="宋体" w:eastAsia="方正仿宋_GBK"/>
                <w:color w:val="000000"/>
                <w:sz w:val="24"/>
                <w:szCs w:val="24"/>
              </w:rPr>
              <w:t>突出，内容与形式</w:t>
            </w:r>
            <w:r>
              <w:rPr>
                <w:rFonts w:hint="eastAsia" w:ascii="方正仿宋_GBK" w:hAnsi="宋体" w:eastAsia="方正仿宋_GBK"/>
                <w:color w:val="000000"/>
                <w:sz w:val="24"/>
                <w:szCs w:val="24"/>
                <w:lang w:val="en-US" w:eastAsia="zh-CN"/>
              </w:rPr>
              <w:t>基本</w:t>
            </w:r>
            <w:r>
              <w:rPr>
                <w:rFonts w:hint="eastAsia" w:ascii="方正仿宋_GBK" w:hAnsi="宋体" w:eastAsia="方正仿宋_GBK"/>
                <w:color w:val="000000"/>
                <w:sz w:val="24"/>
                <w:szCs w:val="24"/>
              </w:rPr>
              <w:t>统一</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w:t>
            </w:r>
            <w:r>
              <w:rPr>
                <w:rFonts w:hint="eastAsia" w:ascii="方正仿宋_GBK" w:hAnsi="宋体" w:eastAsia="方正仿宋_GBK"/>
                <w:color w:val="000000"/>
                <w:sz w:val="24"/>
                <w:szCs w:val="24"/>
                <w:lang w:val="en-US" w:eastAsia="zh-CN"/>
              </w:rPr>
              <w:t>1</w:t>
            </w:r>
            <w:r>
              <w:rPr>
                <w:rFonts w:hint="eastAsia" w:ascii="方正仿宋_GBK" w:hAnsi="宋体" w:eastAsia="方正仿宋_GBK"/>
                <w:color w:val="000000"/>
                <w:sz w:val="24"/>
                <w:szCs w:val="24"/>
              </w:rPr>
              <w:t>万以上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得1</w:t>
            </w:r>
            <w:r>
              <w:rPr>
                <w:rFonts w:hint="eastAsia" w:ascii="方正仿宋_GBK" w:hAnsi="宋体" w:eastAsia="方正仿宋_GBK"/>
                <w:color w:val="000000"/>
                <w:sz w:val="24"/>
                <w:szCs w:val="24"/>
                <w:lang w:val="en-US" w:eastAsia="zh-CN"/>
              </w:rPr>
              <w:t>0</w:t>
            </w:r>
            <w:r>
              <w:rPr>
                <w:rFonts w:hint="eastAsia" w:ascii="方正仿宋_GBK" w:hAnsi="宋体" w:eastAsia="方正仿宋_GBK"/>
                <w:color w:val="000000"/>
                <w:sz w:val="24"/>
                <w:szCs w:val="24"/>
              </w:rPr>
              <w:t>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57868BE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4</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策划方案无创意，</w:t>
            </w:r>
            <w:r>
              <w:rPr>
                <w:rFonts w:hint="eastAsia" w:ascii="方正仿宋_GBK" w:hAnsi="宋体" w:eastAsia="方正仿宋_GBK"/>
                <w:color w:val="000000"/>
                <w:sz w:val="24"/>
                <w:szCs w:val="24"/>
              </w:rPr>
              <w:t>主题</w:t>
            </w:r>
            <w:r>
              <w:rPr>
                <w:rFonts w:hint="eastAsia" w:ascii="方正仿宋_GBK" w:hAnsi="宋体" w:eastAsia="方正仿宋_GBK"/>
                <w:color w:val="000000"/>
                <w:sz w:val="24"/>
                <w:szCs w:val="24"/>
                <w:lang w:val="en-US" w:eastAsia="zh-CN"/>
              </w:rPr>
              <w:t>不</w:t>
            </w:r>
            <w:r>
              <w:rPr>
                <w:rFonts w:hint="eastAsia" w:ascii="方正仿宋_GBK" w:hAnsi="宋体" w:eastAsia="方正仿宋_GBK"/>
                <w:color w:val="000000"/>
                <w:sz w:val="24"/>
                <w:szCs w:val="24"/>
              </w:rPr>
              <w:t>突出，内容与形式脱节</w:t>
            </w:r>
            <w:r>
              <w:rPr>
                <w:rFonts w:hint="eastAsia" w:ascii="方正仿宋_GBK" w:hAnsi="宋体" w:eastAsia="方正仿宋_GBK"/>
                <w:color w:val="000000"/>
                <w:sz w:val="24"/>
                <w:szCs w:val="24"/>
                <w:lang w:val="en-US" w:eastAsia="zh-CN"/>
              </w:rPr>
              <w:t>的</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lang w:val="en-US" w:eastAsia="zh-CN"/>
              </w:rPr>
              <w:t>同时提供一个</w:t>
            </w:r>
            <w:r>
              <w:rPr>
                <w:rFonts w:hint="eastAsia" w:ascii="方正仿宋_GBK" w:hAnsi="宋体" w:eastAsia="方正仿宋_GBK"/>
                <w:color w:val="000000"/>
                <w:sz w:val="24"/>
                <w:szCs w:val="24"/>
              </w:rPr>
              <w:t>以往</w:t>
            </w:r>
            <w:r>
              <w:rPr>
                <w:rFonts w:hint="eastAsia" w:ascii="方正仿宋_GBK" w:hAnsi="宋体" w:eastAsia="方正仿宋_GBK"/>
                <w:color w:val="000000"/>
                <w:sz w:val="24"/>
                <w:szCs w:val="24"/>
                <w:lang w:val="en-US" w:eastAsia="zh-CN"/>
              </w:rPr>
              <w:t>方案的</w:t>
            </w:r>
            <w:r>
              <w:rPr>
                <w:rFonts w:hint="eastAsia" w:ascii="方正仿宋_GBK" w:hAnsi="宋体" w:eastAsia="方正仿宋_GBK"/>
                <w:color w:val="000000"/>
                <w:sz w:val="24"/>
                <w:szCs w:val="24"/>
              </w:rPr>
              <w:t>平台数据</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播放量5000以上</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得5分</w:t>
            </w:r>
            <w:r>
              <w:rPr>
                <w:rFonts w:hint="eastAsia" w:ascii="方正仿宋_GBK" w:hAnsi="宋体" w:eastAsia="方正仿宋_GBK"/>
                <w:color w:val="000000"/>
                <w:sz w:val="24"/>
                <w:szCs w:val="24"/>
                <w:lang w:eastAsia="zh-CN"/>
              </w:rPr>
              <w:t>。</w:t>
            </w:r>
            <w:r>
              <w:rPr>
                <w:rFonts w:hint="eastAsia" w:ascii="方正仿宋_GBK" w:hAnsi="宋体" w:eastAsia="方正仿宋_GBK"/>
                <w:color w:val="000000"/>
                <w:sz w:val="24"/>
                <w:szCs w:val="24"/>
              </w:rPr>
              <w:t xml:space="preserve"> </w:t>
            </w:r>
          </w:p>
          <w:p w14:paraId="481DF0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rPr>
            </w:pPr>
            <w:r>
              <w:rPr>
                <w:rFonts w:hint="eastAsia" w:ascii="方正仿宋_GBK" w:hAnsi="宋体" w:eastAsia="方正仿宋_GBK"/>
                <w:color w:val="000000"/>
                <w:sz w:val="24"/>
                <w:szCs w:val="24"/>
              </w:rPr>
              <w:t>（</w:t>
            </w:r>
            <w:r>
              <w:rPr>
                <w:rFonts w:hint="eastAsia" w:ascii="方正仿宋_GBK" w:hAnsi="宋体" w:eastAsia="方正仿宋_GBK"/>
                <w:color w:val="000000"/>
                <w:sz w:val="24"/>
                <w:szCs w:val="24"/>
                <w:lang w:val="en-US" w:eastAsia="zh-CN"/>
              </w:rPr>
              <w:t>5</w:t>
            </w:r>
            <w:r>
              <w:rPr>
                <w:rFonts w:hint="eastAsia" w:ascii="方正仿宋_GBK" w:hAnsi="宋体" w:eastAsia="方正仿宋_GBK"/>
                <w:color w:val="000000"/>
                <w:sz w:val="24"/>
                <w:szCs w:val="24"/>
              </w:rPr>
              <w:t>）未提供的不得分。</w:t>
            </w:r>
          </w:p>
        </w:tc>
        <w:tc>
          <w:tcPr>
            <w:tcW w:w="2257" w:type="dxa"/>
            <w:noWrap w:val="0"/>
            <w:vAlign w:val="center"/>
          </w:tcPr>
          <w:p w14:paraId="46BF6A9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需提供</w:t>
            </w:r>
            <w:r>
              <w:rPr>
                <w:rFonts w:hint="eastAsia" w:ascii="方正仿宋_GBK" w:hAnsi="方正仿宋_GBK" w:eastAsia="方正仿宋_GBK" w:cs="方正仿宋_GBK"/>
                <w:sz w:val="24"/>
                <w:szCs w:val="24"/>
                <w:lang w:val="en-US" w:eastAsia="zh-CN"/>
              </w:rPr>
              <w:t>策划</w:t>
            </w:r>
            <w:r>
              <w:rPr>
                <w:rFonts w:hint="default" w:ascii="方正仿宋_GBK" w:hAnsi="方正仿宋_GBK" w:eastAsia="方正仿宋_GBK" w:cs="方正仿宋_GBK"/>
                <w:sz w:val="24"/>
                <w:szCs w:val="24"/>
                <w:lang w:val="en-US" w:eastAsia="zh-CN"/>
              </w:rPr>
              <w:t>创意文案</w:t>
            </w:r>
            <w:r>
              <w:rPr>
                <w:rFonts w:hint="eastAsia" w:ascii="方正仿宋_GBK" w:hAnsi="方正仿宋_GBK" w:eastAsia="方正仿宋_GBK" w:cs="方正仿宋_GBK"/>
                <w:sz w:val="24"/>
                <w:szCs w:val="24"/>
                <w:lang w:val="en-US" w:eastAsia="zh-CN"/>
              </w:rPr>
              <w:t>加盖公章；</w:t>
            </w:r>
            <w:r>
              <w:rPr>
                <w:rFonts w:hint="default" w:ascii="方正仿宋_GBK" w:hAnsi="方正仿宋_GBK" w:eastAsia="方正仿宋_GBK" w:cs="方正仿宋_GBK"/>
                <w:sz w:val="24"/>
                <w:szCs w:val="24"/>
                <w:lang w:val="en-US" w:eastAsia="zh-CN"/>
              </w:rPr>
              <w:t>并提供平台数据截图（播放量、点赞量）</w:t>
            </w:r>
            <w:r>
              <w:rPr>
                <w:rFonts w:hint="eastAsia" w:ascii="方正仿宋_GBK" w:hAnsi="方正仿宋_GBK" w:eastAsia="方正仿宋_GBK" w:cs="方正仿宋_GBK"/>
                <w:sz w:val="24"/>
                <w:szCs w:val="24"/>
                <w:lang w:val="en-US" w:eastAsia="zh-CN"/>
              </w:rPr>
              <w:t>加盖公章</w:t>
            </w:r>
          </w:p>
        </w:tc>
      </w:tr>
      <w:tr w14:paraId="53CB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dxa"/>
            <w:vMerge w:val="continue"/>
            <w:noWrap w:val="0"/>
            <w:vAlign w:val="center"/>
          </w:tcPr>
          <w:p w14:paraId="7BF18FE1">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continue"/>
            <w:noWrap w:val="0"/>
            <w:vAlign w:val="center"/>
          </w:tcPr>
          <w:p w14:paraId="18C6286E">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color w:val="0000FF"/>
                <w:sz w:val="24"/>
                <w:szCs w:val="24"/>
              </w:rPr>
            </w:pPr>
          </w:p>
        </w:tc>
        <w:tc>
          <w:tcPr>
            <w:tcW w:w="541" w:type="dxa"/>
            <w:noWrap w:val="0"/>
            <w:vAlign w:val="center"/>
          </w:tcPr>
          <w:p w14:paraId="724FB68A">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拍摄制作</w:t>
            </w:r>
          </w:p>
        </w:tc>
        <w:tc>
          <w:tcPr>
            <w:tcW w:w="736" w:type="dxa"/>
            <w:noWrap w:val="0"/>
            <w:vAlign w:val="center"/>
          </w:tcPr>
          <w:p w14:paraId="7BC97DEA">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15</w:t>
            </w:r>
          </w:p>
        </w:tc>
        <w:tc>
          <w:tcPr>
            <w:tcW w:w="4483" w:type="dxa"/>
            <w:noWrap w:val="0"/>
            <w:vAlign w:val="center"/>
          </w:tcPr>
          <w:p w14:paraId="440AE1B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（1）拍摄进度安排科学合理，明确各阶段的时间节点、任务内容和责任人，充分考虑可能出现的风险和应对措施得15分；</w:t>
            </w:r>
          </w:p>
          <w:p w14:paraId="347346D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（2）拍摄计划较为合理，时间节点和任务安排基本清晰，但风险应对措施不够完善得10分；</w:t>
            </w:r>
          </w:p>
          <w:p w14:paraId="02E4B58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（3）拍摄计划存在一定不合理之处，时间节点或任务安排存在冲突得5分；</w:t>
            </w:r>
          </w:p>
          <w:p w14:paraId="2B89DDC4">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宋体" w:eastAsia="方正仿宋_GBK"/>
                <w:color w:val="000000"/>
                <w:sz w:val="24"/>
                <w:szCs w:val="24"/>
                <w:lang w:val="en-US" w:eastAsia="zh-CN"/>
              </w:rPr>
            </w:pPr>
            <w:r>
              <w:rPr>
                <w:rFonts w:hint="eastAsia" w:ascii="方正仿宋_GBK" w:hAnsi="宋体" w:eastAsia="方正仿宋_GBK"/>
                <w:color w:val="000000"/>
                <w:sz w:val="24"/>
                <w:szCs w:val="24"/>
                <w:lang w:val="en-US" w:eastAsia="zh-CN"/>
              </w:rPr>
              <w:t>（4）拍摄计划混乱无序，无法保障项目按时推进不得分。</w:t>
            </w:r>
          </w:p>
        </w:tc>
        <w:tc>
          <w:tcPr>
            <w:tcW w:w="2257" w:type="dxa"/>
            <w:noWrap w:val="0"/>
            <w:vAlign w:val="center"/>
          </w:tcPr>
          <w:p w14:paraId="08CE146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需提</w:t>
            </w:r>
            <w:r>
              <w:rPr>
                <w:rFonts w:hint="eastAsia" w:ascii="方正仿宋_GBK" w:hAnsi="方正仿宋_GBK" w:eastAsia="方正仿宋_GBK" w:cs="方正仿宋_GBK"/>
                <w:sz w:val="24"/>
                <w:szCs w:val="24"/>
                <w:lang w:val="en-US" w:eastAsia="zh-CN"/>
              </w:rPr>
              <w:t>供</w:t>
            </w:r>
            <w:r>
              <w:rPr>
                <w:rFonts w:hint="default" w:ascii="方正仿宋_GBK" w:hAnsi="方正仿宋_GBK" w:eastAsia="方正仿宋_GBK" w:cs="方正仿宋_GBK"/>
                <w:sz w:val="24"/>
                <w:szCs w:val="24"/>
                <w:lang w:val="en-US" w:eastAsia="zh-CN"/>
              </w:rPr>
              <w:t>完善的医生IP孵化制作方案</w:t>
            </w:r>
            <w:r>
              <w:rPr>
                <w:rFonts w:hint="eastAsia" w:ascii="方正仿宋_GBK" w:hAnsi="方正仿宋_GBK" w:eastAsia="方正仿宋_GBK" w:cs="方正仿宋_GBK"/>
                <w:sz w:val="24"/>
                <w:szCs w:val="24"/>
                <w:lang w:val="en-US" w:eastAsia="zh-CN"/>
              </w:rPr>
              <w:t>加盖公章</w:t>
            </w:r>
          </w:p>
        </w:tc>
      </w:tr>
      <w:tr w14:paraId="3558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628" w:type="dxa"/>
            <w:vMerge w:val="restart"/>
            <w:noWrap w:val="0"/>
            <w:vAlign w:val="center"/>
          </w:tcPr>
          <w:p w14:paraId="42649C9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p w14:paraId="7EC95CB3">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restart"/>
            <w:noWrap w:val="0"/>
            <w:vAlign w:val="center"/>
          </w:tcPr>
          <w:p w14:paraId="7B776F1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商务</w:t>
            </w:r>
          </w:p>
          <w:p w14:paraId="40A8DF0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部分</w:t>
            </w:r>
          </w:p>
          <w:p w14:paraId="39BC4B2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15</w:t>
            </w:r>
            <w:r>
              <w:rPr>
                <w:rFonts w:hint="eastAsia" w:ascii="方正仿宋_GBK" w:hAnsi="方正仿宋_GBK" w:eastAsia="方正仿宋_GBK" w:cs="方正仿宋_GBK"/>
                <w:sz w:val="24"/>
                <w:szCs w:val="24"/>
              </w:rPr>
              <w:t>%）</w:t>
            </w:r>
          </w:p>
        </w:tc>
        <w:tc>
          <w:tcPr>
            <w:tcW w:w="541" w:type="dxa"/>
            <w:noWrap w:val="0"/>
            <w:vAlign w:val="center"/>
          </w:tcPr>
          <w:p w14:paraId="0F4FCAB9">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项目业绩</w:t>
            </w:r>
          </w:p>
        </w:tc>
        <w:tc>
          <w:tcPr>
            <w:tcW w:w="736" w:type="dxa"/>
            <w:noWrap w:val="0"/>
            <w:vAlign w:val="center"/>
          </w:tcPr>
          <w:p w14:paraId="0803C5DC">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10</w:t>
            </w:r>
          </w:p>
        </w:tc>
        <w:tc>
          <w:tcPr>
            <w:tcW w:w="4483" w:type="dxa"/>
            <w:noWrap w:val="0"/>
            <w:vAlign w:val="center"/>
          </w:tcPr>
          <w:p w14:paraId="521AA8E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每提供1项医生IP账号运营业绩得2分，最高得10分，医生账号仅限于公立三级及以上医院医生。</w:t>
            </w:r>
          </w:p>
        </w:tc>
        <w:tc>
          <w:tcPr>
            <w:tcW w:w="2257" w:type="dxa"/>
            <w:noWrap w:val="0"/>
            <w:vAlign w:val="center"/>
          </w:tcPr>
          <w:p w14:paraId="61F48C93">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highlight w:val="none"/>
                <w:lang w:val="en-US" w:eastAsia="zh-CN"/>
              </w:rPr>
              <w:t>须提供相关业绩证明材料（须提供合同复印件并加盖供应商公章，合同原件中标后备查）</w:t>
            </w:r>
          </w:p>
        </w:tc>
      </w:tr>
      <w:tr w14:paraId="6DB6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628" w:type="dxa"/>
            <w:vMerge w:val="continue"/>
            <w:noWrap w:val="0"/>
            <w:vAlign w:val="center"/>
          </w:tcPr>
          <w:p w14:paraId="69D902C4">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983" w:type="dxa"/>
            <w:vMerge w:val="continue"/>
            <w:noWrap w:val="0"/>
            <w:vAlign w:val="center"/>
          </w:tcPr>
          <w:p w14:paraId="24E73F8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方正仿宋_GBK" w:hAnsi="方正仿宋_GBK" w:eastAsia="方正仿宋_GBK" w:cs="方正仿宋_GBK"/>
                <w:sz w:val="24"/>
                <w:szCs w:val="24"/>
              </w:rPr>
            </w:pPr>
          </w:p>
        </w:tc>
        <w:tc>
          <w:tcPr>
            <w:tcW w:w="541" w:type="dxa"/>
            <w:noWrap w:val="0"/>
            <w:vAlign w:val="center"/>
          </w:tcPr>
          <w:p w14:paraId="511286E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售后服务</w:t>
            </w:r>
          </w:p>
        </w:tc>
        <w:tc>
          <w:tcPr>
            <w:tcW w:w="736" w:type="dxa"/>
            <w:noWrap w:val="0"/>
            <w:vAlign w:val="center"/>
          </w:tcPr>
          <w:p w14:paraId="436DDDB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5</w:t>
            </w:r>
          </w:p>
        </w:tc>
        <w:tc>
          <w:tcPr>
            <w:tcW w:w="4483" w:type="dxa"/>
            <w:noWrap w:val="0"/>
            <w:vAlign w:val="center"/>
          </w:tcPr>
          <w:p w14:paraId="070EBCB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en-US" w:eastAsia="zh-CN"/>
              </w:rPr>
              <w:t>舆论监督、售后服务方案完善、响应及时、保障措施到位得5分，内容较完善得3分，不完善得2分。</w:t>
            </w:r>
          </w:p>
        </w:tc>
        <w:tc>
          <w:tcPr>
            <w:tcW w:w="2257" w:type="dxa"/>
            <w:noWrap w:val="0"/>
            <w:vAlign w:val="center"/>
          </w:tcPr>
          <w:p w14:paraId="2F67929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需提供</w:t>
            </w:r>
            <w:r>
              <w:rPr>
                <w:rFonts w:hint="eastAsia" w:ascii="方正仿宋_GBK" w:hAnsi="方正仿宋_GBK" w:eastAsia="方正仿宋_GBK" w:cs="方正仿宋_GBK"/>
                <w:sz w:val="24"/>
                <w:szCs w:val="24"/>
                <w:lang w:val="en-US" w:eastAsia="zh-CN"/>
              </w:rPr>
              <w:t>售后服务方案加盖公章</w:t>
            </w:r>
          </w:p>
        </w:tc>
      </w:tr>
    </w:tbl>
    <w:p w14:paraId="3F31F887">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28" w:name="_Toc11751"/>
      <w:r>
        <w:rPr>
          <w:rFonts w:hint="eastAsia" w:ascii="方正黑体_GBK" w:hAnsi="方正黑体_GBK" w:eastAsia="方正黑体_GBK" w:cs="方正黑体_GBK"/>
          <w:b w:val="0"/>
          <w:bCs w:val="0"/>
          <w:sz w:val="32"/>
          <w:szCs w:val="32"/>
        </w:rPr>
        <w:t>五、</w:t>
      </w:r>
      <w:r>
        <w:rPr>
          <w:rFonts w:hint="eastAsia" w:ascii="方正黑体_GBK" w:hAnsi="方正黑体_GBK" w:eastAsia="方正黑体_GBK" w:cs="方正黑体_GBK"/>
          <w:b w:val="0"/>
          <w:bCs w:val="0"/>
          <w:sz w:val="32"/>
          <w:szCs w:val="32"/>
          <w:lang w:val="en-US" w:eastAsia="zh-CN"/>
        </w:rPr>
        <w:t>供应商</w:t>
      </w:r>
      <w:r>
        <w:rPr>
          <w:rFonts w:hint="eastAsia" w:ascii="方正黑体_GBK" w:hAnsi="方正黑体_GBK" w:eastAsia="方正黑体_GBK" w:cs="方正黑体_GBK"/>
          <w:b w:val="0"/>
          <w:bCs w:val="0"/>
          <w:sz w:val="32"/>
          <w:szCs w:val="32"/>
        </w:rPr>
        <w:t>资质</w:t>
      </w:r>
      <w:r>
        <w:rPr>
          <w:rFonts w:hint="eastAsia" w:ascii="方正黑体_GBK" w:hAnsi="方正黑体_GBK" w:eastAsia="方正黑体_GBK" w:cs="方正黑体_GBK"/>
          <w:b w:val="0"/>
          <w:bCs w:val="0"/>
          <w:sz w:val="32"/>
          <w:szCs w:val="32"/>
          <w:lang w:eastAsia="zh-CN"/>
        </w:rPr>
        <w:t>：</w:t>
      </w:r>
      <w:bookmarkEnd w:id="28"/>
    </w:p>
    <w:p w14:paraId="115BB6C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29" w:name="_Toc12131"/>
      <w:bookmarkStart w:id="30" w:name="_Toc928"/>
      <w:r>
        <w:rPr>
          <w:rFonts w:hint="eastAsia" w:ascii="方正仿宋_GBK" w:hAnsi="方正仿宋_GBK" w:eastAsia="方正仿宋_GBK" w:cs="方正仿宋_GBK"/>
          <w:b w:val="0"/>
          <w:bCs w:val="0"/>
          <w:sz w:val="32"/>
          <w:szCs w:val="32"/>
          <w:lang w:val="en-US" w:eastAsia="zh-CN"/>
        </w:rPr>
        <w:t>1.</w:t>
      </w:r>
      <w:r>
        <w:rPr>
          <w:rFonts w:hint="eastAsia" w:ascii="方正仿宋_GBK" w:hAnsi="方正仿宋_GBK" w:eastAsia="方正仿宋_GBK" w:cs="方正仿宋_GBK"/>
          <w:b w:val="0"/>
          <w:bCs w:val="0"/>
          <w:sz w:val="32"/>
          <w:szCs w:val="32"/>
        </w:rPr>
        <w:t>具有独立承担民事责任能力的在中华人民共和国境内登记注册的法人或其他组织营业执照</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 xml:space="preserve">或民政部门登记的法人证书等相关证明材料 </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w:t>
      </w:r>
      <w:bookmarkEnd w:id="29"/>
      <w:bookmarkEnd w:id="30"/>
    </w:p>
    <w:p w14:paraId="625C2172">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31" w:name="_Toc17336"/>
      <w:bookmarkStart w:id="32" w:name="_Toc32462"/>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val="en-US" w:eastAsia="zh-CN"/>
        </w:rPr>
        <w:t>.供应商</w:t>
      </w:r>
      <w:r>
        <w:rPr>
          <w:rFonts w:hint="eastAsia" w:ascii="方正仿宋_GBK" w:hAnsi="方正仿宋_GBK" w:eastAsia="方正仿宋_GBK" w:cs="方正仿宋_GBK"/>
          <w:b w:val="0"/>
          <w:bCs w:val="0"/>
          <w:sz w:val="32"/>
          <w:szCs w:val="32"/>
        </w:rPr>
        <w:t>具备《政府采购法》 第二十二条规定的条件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即</w:t>
      </w:r>
      <w:r>
        <w:rPr>
          <w:rFonts w:hint="eastAsia" w:ascii="方正仿宋_GBK" w:hAnsi="方正仿宋_GBK" w:eastAsia="方正仿宋_GBK" w:cs="方正仿宋_GBK"/>
          <w:b w:val="0"/>
          <w:bCs w:val="0"/>
          <w:sz w:val="32"/>
          <w:szCs w:val="32"/>
          <w:lang w:eastAsia="zh-CN"/>
        </w:rPr>
        <w:t>供应商</w:t>
      </w:r>
      <w:r>
        <w:rPr>
          <w:rFonts w:hint="eastAsia" w:ascii="方正仿宋_GBK" w:hAnsi="方正仿宋_GBK" w:eastAsia="方正仿宋_GBK" w:cs="方正仿宋_GBK"/>
          <w:b w:val="0"/>
          <w:bCs w:val="0"/>
          <w:sz w:val="32"/>
          <w:szCs w:val="32"/>
        </w:rPr>
        <w:t>在参与本项目投标前三年内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在经营活动中没有重大违法记录。</w:t>
      </w:r>
      <w:bookmarkEnd w:id="31"/>
      <w:bookmarkEnd w:id="32"/>
    </w:p>
    <w:p w14:paraId="4CAA4CA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33" w:name="_Toc2968"/>
      <w:bookmarkStart w:id="34" w:name="_Toc19351"/>
      <w:r>
        <w:rPr>
          <w:rFonts w:hint="eastAsia" w:ascii="方正仿宋_GBK" w:hAnsi="方正仿宋_GBK" w:eastAsia="方正仿宋_GBK" w:cs="方正仿宋_GBK"/>
          <w:b w:val="0"/>
          <w:bCs w:val="0"/>
          <w:sz w:val="32"/>
          <w:szCs w:val="32"/>
        </w:rPr>
        <w:t>3</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sz w:val="32"/>
          <w:szCs w:val="32"/>
        </w:rPr>
        <w:t>本项目不接受联合体</w:t>
      </w:r>
      <w:r>
        <w:rPr>
          <w:rFonts w:hint="eastAsia" w:ascii="方正仿宋_GBK" w:hAnsi="方正仿宋_GBK" w:eastAsia="方正仿宋_GBK" w:cs="方正仿宋_GBK"/>
          <w:b w:val="0"/>
          <w:bCs w:val="0"/>
          <w:sz w:val="32"/>
          <w:szCs w:val="32"/>
          <w:lang w:eastAsia="zh-CN"/>
        </w:rPr>
        <w:t>供应商，</w:t>
      </w:r>
      <w:r>
        <w:rPr>
          <w:rFonts w:hint="eastAsia" w:ascii="方正仿宋_GBK" w:hAnsi="方正仿宋_GBK" w:eastAsia="方正仿宋_GBK" w:cs="方正仿宋_GBK"/>
          <w:b w:val="0"/>
          <w:bCs w:val="0"/>
          <w:sz w:val="32"/>
          <w:szCs w:val="32"/>
        </w:rPr>
        <w:t>不得以外包、分包、转包等形式进行合作。</w:t>
      </w:r>
      <w:bookmarkEnd w:id="33"/>
      <w:bookmarkEnd w:id="34"/>
    </w:p>
    <w:p w14:paraId="6B5E877B">
      <w:pPr>
        <w:pStyle w:val="3"/>
        <w:pageBreakBefore w:val="0"/>
        <w:tabs>
          <w:tab w:val="left" w:pos="3360"/>
        </w:tabs>
        <w:kinsoku/>
        <w:wordWrap/>
        <w:overflowPunct/>
        <w:topLinePunct w:val="0"/>
        <w:autoSpaceDE/>
        <w:autoSpaceDN/>
        <w:bidi w:val="0"/>
        <w:spacing w:line="560" w:lineRule="exact"/>
        <w:ind w:left="0" w:leftChars="0" w:right="0" w:firstLine="640" w:firstLineChars="200"/>
        <w:jc w:val="left"/>
        <w:textAlignment w:val="auto"/>
        <w:rPr>
          <w:rFonts w:hint="eastAsia" w:ascii="方正仿宋_GBK" w:hAnsi="方正仿宋_GBK" w:eastAsia="方正仿宋_GBK" w:cs="方正仿宋_GBK"/>
          <w:b w:val="0"/>
          <w:bCs w:val="0"/>
          <w:sz w:val="32"/>
          <w:szCs w:val="32"/>
        </w:rPr>
      </w:pPr>
      <w:bookmarkStart w:id="35" w:name="_Toc24269"/>
      <w:bookmarkStart w:id="36" w:name="_Toc30637"/>
      <w:r>
        <w:rPr>
          <w:rFonts w:hint="eastAsia" w:ascii="方正仿宋_GBK" w:hAnsi="方正仿宋_GBK" w:eastAsia="方正仿宋_GBK" w:cs="方正仿宋_GBK"/>
          <w:b w:val="0"/>
          <w:bCs w:val="0"/>
          <w:sz w:val="32"/>
          <w:szCs w:val="32"/>
        </w:rPr>
        <w:t>4.未满足上述各项要求者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即未通过资格预审者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视作废标或违约</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不再另行通知。</w:t>
      </w:r>
      <w:bookmarkEnd w:id="35"/>
      <w:bookmarkEnd w:id="36"/>
    </w:p>
    <w:p w14:paraId="6EE6026A">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37" w:name="_Toc5058"/>
      <w:r>
        <w:rPr>
          <w:rFonts w:hint="eastAsia" w:ascii="方正黑体_GBK" w:hAnsi="方正黑体_GBK" w:eastAsia="方正黑体_GBK" w:cs="方正黑体_GBK"/>
          <w:b w:val="0"/>
          <w:bCs w:val="0"/>
          <w:sz w:val="32"/>
          <w:szCs w:val="32"/>
        </w:rPr>
        <w:t>六、</w:t>
      </w:r>
      <w:r>
        <w:rPr>
          <w:rFonts w:hint="eastAsia" w:ascii="方正黑体_GBK" w:hAnsi="方正黑体_GBK" w:eastAsia="方正黑体_GBK" w:cs="方正黑体_GBK"/>
          <w:b w:val="0"/>
          <w:bCs w:val="0"/>
          <w:sz w:val="32"/>
          <w:szCs w:val="32"/>
          <w:lang w:val="en-US" w:eastAsia="zh-CN"/>
        </w:rPr>
        <w:t>响应</w:t>
      </w:r>
      <w:r>
        <w:rPr>
          <w:rFonts w:hint="eastAsia" w:ascii="方正黑体_GBK" w:hAnsi="方正黑体_GBK" w:eastAsia="方正黑体_GBK" w:cs="方正黑体_GBK"/>
          <w:b w:val="0"/>
          <w:bCs w:val="0"/>
          <w:sz w:val="32"/>
          <w:szCs w:val="32"/>
          <w:lang w:eastAsia="zh-CN"/>
        </w:rPr>
        <w:t>要求：</w:t>
      </w:r>
      <w:bookmarkEnd w:id="37"/>
    </w:p>
    <w:p w14:paraId="135CEA7F">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（一）响应文件</w:t>
      </w:r>
    </w:p>
    <w:p w14:paraId="27631516">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1.供应商应当按照</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文件的要求编制响应文件，并对</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文件提出的要求和条件作出实质性响应，响应文件原则上采用软面订本，同时应编制完整的页码、目录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且每页加盖鲜章</w:t>
      </w:r>
      <w:r>
        <w:rPr>
          <w:rFonts w:hint="eastAsia" w:ascii="方正仿宋_GBK" w:hAnsi="方正仿宋_GBK" w:eastAsia="方正仿宋_GBK" w:cs="方正仿宋_GBK"/>
          <w:sz w:val="32"/>
          <w:szCs w:val="32"/>
        </w:rPr>
        <w:t>。</w:t>
      </w:r>
    </w:p>
    <w:p w14:paraId="40E29AF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2.响应文件组成</w:t>
      </w:r>
    </w:p>
    <w:p w14:paraId="56F048A1">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响应文件由“</w:t>
      </w:r>
      <w:r>
        <w:rPr>
          <w:rFonts w:hint="eastAsia" w:ascii="方正仿宋_GBK" w:hAnsi="方正仿宋_GBK" w:eastAsia="方正仿宋_GBK" w:cs="方正仿宋_GBK"/>
          <w:sz w:val="32"/>
          <w:szCs w:val="32"/>
          <w:highlight w:val="none"/>
        </w:rPr>
        <w:t>响应文件编制要求</w:t>
      </w:r>
      <w:r>
        <w:rPr>
          <w:rFonts w:hint="eastAsia" w:ascii="方正仿宋_GBK" w:hAnsi="方正仿宋_GBK" w:eastAsia="方正仿宋_GBK" w:cs="方正仿宋_GBK"/>
          <w:sz w:val="32"/>
          <w:szCs w:val="32"/>
        </w:rPr>
        <w:t>”规定的部分和供应商所作的一切有效补充、修改和承诺等文件组成，供应商应按照“响应文件编制要求”规定的目录顺序组织编写和装订，也可在基本格式基础上对表格进行扩展，未规定格式的由供应商自定格式。</w:t>
      </w:r>
    </w:p>
    <w:p w14:paraId="316B222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（二）联合体：不接受。</w:t>
      </w:r>
    </w:p>
    <w:p w14:paraId="10C1D0B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有效期：响应文件及有关承诺文件有效期为提交响应文件截止时间起90天。</w:t>
      </w:r>
    </w:p>
    <w:p w14:paraId="7450914F">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（四）修正错误</w:t>
      </w:r>
    </w:p>
    <w:p w14:paraId="31625B7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1.若供应商所递交的响应文件或最后报价中的价格出现大写金额和小写金额不一致的错误，以大写金额修正为准</w:t>
      </w:r>
      <w:r>
        <w:rPr>
          <w:rFonts w:hint="eastAsia" w:ascii="方正仿宋_GBK" w:hAnsi="方正仿宋_GBK" w:eastAsia="方正仿宋_GBK" w:cs="方正仿宋_GBK"/>
          <w:sz w:val="32"/>
          <w:szCs w:val="32"/>
          <w:lang w:eastAsia="zh-CN"/>
        </w:rPr>
        <w:t>，大写金额错误的，作无效标处理</w:t>
      </w:r>
      <w:r>
        <w:rPr>
          <w:rFonts w:hint="eastAsia" w:ascii="方正仿宋_GBK" w:hAnsi="方正仿宋_GBK" w:eastAsia="方正仿宋_GBK" w:cs="方正仿宋_GBK"/>
          <w:sz w:val="32"/>
          <w:szCs w:val="32"/>
        </w:rPr>
        <w:t>。</w:t>
      </w:r>
    </w:p>
    <w:p w14:paraId="55231BF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评审</w:t>
      </w:r>
      <w:r>
        <w:rPr>
          <w:rFonts w:hint="eastAsia" w:ascii="方正仿宋_GBK" w:hAnsi="方正仿宋_GBK" w:eastAsia="方正仿宋_GBK" w:cs="方正仿宋_GBK"/>
          <w:sz w:val="32"/>
          <w:szCs w:val="32"/>
        </w:rPr>
        <w:t>小组按上述修正错误的原则及方法修正供应商的报价，供应商同意并签署确认后，修正后的报价对供应商具有约束作用。如果供应商不接受修正后的价格，将失去成为</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供应商的资格。</w:t>
      </w:r>
    </w:p>
    <w:p w14:paraId="4B75AB17">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（五）提交响应文件的份数和签署</w:t>
      </w:r>
    </w:p>
    <w:p w14:paraId="6C92BA8B">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1.响应文件一式</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份，正本一份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副本一份，电子档一份</w:t>
      </w:r>
      <w:r>
        <w:rPr>
          <w:rFonts w:hint="eastAsia" w:ascii="方正仿宋_GBK" w:hAnsi="方正仿宋_GBK" w:eastAsia="方正仿宋_GBK" w:cs="方正仿宋_GBK"/>
          <w:sz w:val="32"/>
          <w:szCs w:val="32"/>
        </w:rPr>
        <w:t>。</w:t>
      </w:r>
    </w:p>
    <w:p w14:paraId="5AF843D5">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2.响应文件按</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w:t>
      </w:r>
      <w:r>
        <w:rPr>
          <w:rFonts w:hint="eastAsia" w:ascii="方正仿宋_GBK" w:hAnsi="方正仿宋_GBK" w:eastAsia="方正仿宋_GBK" w:cs="方正仿宋_GBK"/>
          <w:sz w:val="32"/>
          <w:szCs w:val="32"/>
          <w:highlight w:val="none"/>
        </w:rPr>
        <w:t>响应文件编制要求</w:t>
      </w:r>
      <w:r>
        <w:rPr>
          <w:rFonts w:hint="eastAsia" w:ascii="方正仿宋_GBK" w:hAnsi="方正仿宋_GBK" w:eastAsia="方正仿宋_GBK" w:cs="方正仿宋_GBK"/>
          <w:sz w:val="32"/>
          <w:szCs w:val="32"/>
        </w:rPr>
        <w:t>”要求签署或盖章。</w:t>
      </w:r>
    </w:p>
    <w:p w14:paraId="3E7A4CF0">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（六）响应文件的递交</w:t>
      </w:r>
    </w:p>
    <w:p w14:paraId="5481ACBA">
      <w:pPr>
        <w:pStyle w:val="4"/>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响应文件应密封送达</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地点，应在封套上注明</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项目名称、供应商名称。</w:t>
      </w:r>
    </w:p>
    <w:p w14:paraId="2A46D6CB">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（七）供应商参与人员</w:t>
      </w:r>
    </w:p>
    <w:p w14:paraId="21557720">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各个供应商应当派1-2名代表参与</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，至少1人应为法定代表人（或其授权代表）或自然人（供应商为自然人）。</w:t>
      </w:r>
    </w:p>
    <w:p w14:paraId="08B6AB3D">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38" w:name="_Toc6015"/>
      <w:bookmarkStart w:id="39" w:name="_Toc10675"/>
      <w:bookmarkStart w:id="40" w:name="_Toc6975"/>
      <w:bookmarkStart w:id="41" w:name="_Toc16815"/>
      <w:bookmarkStart w:id="42" w:name="_Toc23607"/>
      <w:bookmarkStart w:id="43" w:name="_Toc27253"/>
      <w:bookmarkStart w:id="44" w:name="_Toc17533"/>
      <w:bookmarkStart w:id="45" w:name="_Toc29902"/>
      <w:bookmarkStart w:id="46" w:name="_Toc28339"/>
      <w:bookmarkStart w:id="47" w:name="_Toc10146"/>
      <w:bookmarkStart w:id="48" w:name="_Toc6872"/>
      <w:bookmarkStart w:id="49" w:name="_Toc2807"/>
      <w:bookmarkStart w:id="50" w:name="_Toc3211"/>
      <w:bookmarkStart w:id="51" w:name="_Toc13618"/>
      <w:bookmarkStart w:id="52" w:name="_Toc26891"/>
      <w:bookmarkStart w:id="53" w:name="_Toc4358"/>
      <w:bookmarkStart w:id="54" w:name="_Toc4255"/>
      <w:bookmarkStart w:id="55" w:name="_Toc3816"/>
      <w:bookmarkStart w:id="56" w:name="_Toc1654"/>
      <w:bookmarkStart w:id="57" w:name="_Toc76462341"/>
      <w:r>
        <w:rPr>
          <w:rFonts w:hint="eastAsia" w:ascii="方正黑体_GBK" w:hAnsi="方正黑体_GBK" w:eastAsia="方正黑体_GBK" w:cs="方正黑体_GBK"/>
          <w:b w:val="0"/>
          <w:bCs w:val="0"/>
          <w:sz w:val="32"/>
          <w:szCs w:val="32"/>
          <w:lang w:eastAsia="zh-CN"/>
        </w:rPr>
        <w:t>七</w:t>
      </w:r>
      <w:r>
        <w:rPr>
          <w:rFonts w:hint="eastAsia" w:ascii="方正黑体_GBK" w:hAnsi="方正黑体_GBK" w:eastAsia="方正黑体_GBK" w:cs="方正黑体_GBK"/>
          <w:b w:val="0"/>
          <w:bCs w:val="0"/>
          <w:sz w:val="32"/>
          <w:szCs w:val="32"/>
        </w:rPr>
        <w:t>、</w:t>
      </w:r>
      <w:r>
        <w:rPr>
          <w:rFonts w:hint="eastAsia" w:ascii="方正黑体_GBK" w:hAnsi="方正黑体_GBK" w:eastAsia="方正黑体_GBK" w:cs="方正黑体_GBK"/>
          <w:b w:val="0"/>
          <w:bCs w:val="0"/>
          <w:sz w:val="32"/>
          <w:szCs w:val="32"/>
          <w:lang w:val="en-US" w:eastAsia="zh-CN"/>
        </w:rPr>
        <w:t>拟成交</w:t>
      </w:r>
      <w:r>
        <w:rPr>
          <w:rFonts w:hint="eastAsia" w:ascii="方正黑体_GBK" w:hAnsi="方正黑体_GBK" w:eastAsia="方正黑体_GBK" w:cs="方正黑体_GBK"/>
          <w:b w:val="0"/>
          <w:bCs w:val="0"/>
          <w:sz w:val="32"/>
          <w:szCs w:val="32"/>
        </w:rPr>
        <w:t>供应商的确认和变更</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475CC7C9">
      <w:pPr>
        <w:pageBreakBefore w:val="0"/>
        <w:kinsoku/>
        <w:wordWrap/>
        <w:overflowPunct/>
        <w:topLinePunct w:val="0"/>
        <w:autoSpaceDE/>
        <w:autoSpaceDN/>
        <w:bidi w:val="0"/>
        <w:snapToGrid w:val="0"/>
        <w:spacing w:line="580" w:lineRule="exact"/>
        <w:ind w:firstLine="640" w:firstLineChars="200"/>
        <w:textAlignment w:val="auto"/>
        <w:outlineLvl w:val="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供应商的确认</w:t>
      </w:r>
    </w:p>
    <w:p w14:paraId="64EA3592">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磋商小组采用综合评分法对提交最后报价的供应商的响应文件和最后报价（含有效书面承诺）进行综合评分。磋商小组各成员独立对每个有效响应（通过资格性审查、符合性审查的供应商）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服务指标优劣顺序排列推荐。以上都相同的，按商务条款的优劣顺序排列推荐。评审报告提出的排序第一的供应商为</w:t>
      </w:r>
      <w:r>
        <w:rPr>
          <w:rFonts w:hint="eastAsia" w:ascii="方正仿宋_GBK" w:hAnsi="方正仿宋_GBK" w:eastAsia="方正仿宋_GBK" w:cs="方正仿宋_GBK"/>
          <w:sz w:val="32"/>
          <w:szCs w:val="32"/>
          <w:lang w:val="en-US" w:eastAsia="zh-CN"/>
        </w:rPr>
        <w:t>拟</w:t>
      </w:r>
      <w:r>
        <w:rPr>
          <w:rFonts w:hint="eastAsia" w:ascii="方正仿宋_GBK" w:hAnsi="方正仿宋_GBK" w:eastAsia="方正仿宋_GBK" w:cs="方正仿宋_GBK"/>
          <w:sz w:val="32"/>
          <w:szCs w:val="32"/>
        </w:rPr>
        <w:t>成交供应商。</w:t>
      </w:r>
    </w:p>
    <w:p w14:paraId="0658F290">
      <w:pPr>
        <w:pageBreakBefore w:val="0"/>
        <w:kinsoku/>
        <w:wordWrap/>
        <w:overflowPunct/>
        <w:topLinePunct w:val="0"/>
        <w:autoSpaceDE/>
        <w:autoSpaceDN/>
        <w:bidi w:val="0"/>
        <w:snapToGrid w:val="0"/>
        <w:spacing w:line="580" w:lineRule="exact"/>
        <w:ind w:firstLine="640" w:firstLineChars="200"/>
        <w:textAlignment w:val="auto"/>
        <w:outlineLvl w:val="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供应商的变更</w:t>
      </w:r>
    </w:p>
    <w:p w14:paraId="342BF616">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供应商拒绝与采购人签订合同的，采购人可以按照</w:t>
      </w:r>
      <w:r>
        <w:rPr>
          <w:rFonts w:hint="eastAsia" w:ascii="方正仿宋_GBK" w:hAnsi="方正仿宋_GBK" w:eastAsia="方正仿宋_GBK" w:cs="方正仿宋_GBK"/>
          <w:sz w:val="32"/>
          <w:szCs w:val="32"/>
          <w:lang w:eastAsia="zh-CN"/>
        </w:rPr>
        <w:t>评审</w:t>
      </w:r>
      <w:r>
        <w:rPr>
          <w:rFonts w:hint="eastAsia" w:ascii="方正仿宋_GBK" w:hAnsi="方正仿宋_GBK" w:eastAsia="方正仿宋_GBK" w:cs="方正仿宋_GBK"/>
          <w:sz w:val="32"/>
          <w:szCs w:val="32"/>
        </w:rPr>
        <w:t>报告推荐的</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供应商顺序，确定排名下一位的候选人为</w:t>
      </w:r>
      <w:r>
        <w:rPr>
          <w:rFonts w:hint="eastAsia" w:ascii="方正仿宋_GBK" w:hAnsi="方正仿宋_GBK" w:eastAsia="方正仿宋_GBK" w:cs="方正仿宋_GBK"/>
          <w:sz w:val="32"/>
          <w:szCs w:val="32"/>
          <w:lang w:val="en-US" w:eastAsia="zh-CN"/>
        </w:rPr>
        <w:t>拟成交</w:t>
      </w:r>
      <w:r>
        <w:rPr>
          <w:rFonts w:hint="eastAsia" w:ascii="方正仿宋_GBK" w:hAnsi="方正仿宋_GBK" w:eastAsia="方正仿宋_GBK" w:cs="方正仿宋_GBK"/>
          <w:sz w:val="32"/>
          <w:szCs w:val="32"/>
        </w:rPr>
        <w:t>供应商，也可以重新开展采购活动。</w:t>
      </w:r>
    </w:p>
    <w:p w14:paraId="0840F71F">
      <w:pPr>
        <w:pStyle w:val="3"/>
        <w:keepNext/>
        <w:keepLines/>
        <w:pageBreakBefore w:val="0"/>
        <w:widowControl w:val="0"/>
        <w:kinsoku/>
        <w:wordWrap/>
        <w:overflowPunct/>
        <w:topLinePunct w:val="0"/>
        <w:autoSpaceDE/>
        <w:autoSpaceDN/>
        <w:bidi w:val="0"/>
        <w:adjustRightInd w:val="0"/>
        <w:snapToGrid w:val="0"/>
        <w:spacing w:before="0" w:after="0" w:line="580" w:lineRule="exact"/>
        <w:ind w:firstLine="640" w:firstLineChars="200"/>
        <w:jc w:val="left"/>
        <w:textAlignment w:val="auto"/>
        <w:outlineLvl w:val="0"/>
        <w:rPr>
          <w:rFonts w:hint="eastAsia" w:ascii="方正黑体_GBK" w:hAnsi="方正黑体_GBK" w:eastAsia="方正黑体_GBK" w:cs="方正黑体_GBK"/>
          <w:b w:val="0"/>
          <w:bCs w:val="0"/>
          <w:kern w:val="2"/>
          <w:sz w:val="32"/>
          <w:szCs w:val="32"/>
          <w:lang w:val="en-US" w:eastAsia="zh-CN" w:bidi="ar-SA"/>
        </w:rPr>
      </w:pPr>
      <w:bookmarkStart w:id="58" w:name="_Toc16227"/>
      <w:bookmarkStart w:id="59" w:name="_Toc7139"/>
      <w:bookmarkStart w:id="60" w:name="_Toc17789"/>
      <w:bookmarkStart w:id="61" w:name="_Toc23640"/>
      <w:bookmarkStart w:id="62" w:name="_Toc9305"/>
      <w:bookmarkStart w:id="63" w:name="_Toc102227321"/>
      <w:bookmarkStart w:id="64" w:name="_Toc13225"/>
      <w:bookmarkStart w:id="65" w:name="_Toc1176"/>
      <w:bookmarkStart w:id="66" w:name="_Toc7024"/>
      <w:bookmarkStart w:id="67" w:name="_Toc76462342"/>
      <w:bookmarkStart w:id="68" w:name="_Toc17733"/>
      <w:bookmarkStart w:id="69" w:name="_Toc3600"/>
      <w:bookmarkStart w:id="70" w:name="_Toc21706"/>
      <w:bookmarkStart w:id="71" w:name="_Toc20539"/>
      <w:bookmarkStart w:id="72" w:name="_Toc27893"/>
      <w:bookmarkStart w:id="73" w:name="_Toc29419"/>
      <w:bookmarkStart w:id="74" w:name="_Toc1927"/>
      <w:bookmarkStart w:id="75" w:name="_Toc13900"/>
      <w:bookmarkStart w:id="76" w:name="_Toc342913395"/>
      <w:bookmarkStart w:id="77" w:name="_Toc5669"/>
      <w:bookmarkStart w:id="78" w:name="_Toc9729"/>
      <w:bookmarkStart w:id="79" w:name="_Toc4036"/>
      <w:r>
        <w:rPr>
          <w:rFonts w:hint="eastAsia" w:ascii="方正黑体_GBK" w:hAnsi="方正黑体_GBK" w:eastAsia="方正黑体_GBK" w:cs="方正黑体_GBK"/>
          <w:b w:val="0"/>
          <w:bCs w:val="0"/>
          <w:kern w:val="2"/>
          <w:sz w:val="32"/>
          <w:szCs w:val="32"/>
          <w:lang w:val="en-US" w:eastAsia="zh-CN" w:bidi="ar-SA"/>
        </w:rPr>
        <w:t>八、成交通知</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9FDE5A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供应商确定后，采购</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将在重庆市</w:t>
      </w:r>
      <w:r>
        <w:rPr>
          <w:rFonts w:hint="eastAsia" w:ascii="方正仿宋_GBK" w:hAnsi="方正仿宋_GBK" w:eastAsia="方正仿宋_GBK" w:cs="方正仿宋_GBK"/>
          <w:sz w:val="32"/>
          <w:szCs w:val="32"/>
          <w:lang w:eastAsia="zh-CN"/>
        </w:rPr>
        <w:t>黔江中心医院</w:t>
      </w:r>
      <w:r>
        <w:rPr>
          <w:rFonts w:hint="eastAsia" w:ascii="方正仿宋_GBK" w:hAnsi="方正仿宋_GBK" w:eastAsia="方正仿宋_GBK" w:cs="方正仿宋_GBK"/>
          <w:sz w:val="32"/>
          <w:szCs w:val="32"/>
          <w:lang w:val="en-US" w:eastAsia="zh-CN"/>
        </w:rPr>
        <w:t>官网</w:t>
      </w:r>
      <w:r>
        <w:rPr>
          <w:rFonts w:hint="eastAsia" w:ascii="方正仿宋_GBK" w:hAnsi="方正仿宋_GBK" w:eastAsia="方正仿宋_GBK" w:cs="方正仿宋_GBK"/>
          <w:sz w:val="32"/>
          <w:szCs w:val="32"/>
        </w:rPr>
        <w:t>（http://www.qjzxyy.cn）上发布</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结果公告。</w:t>
      </w:r>
    </w:p>
    <w:p w14:paraId="68100BD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（二）结果公告发出同时，采购</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将以书面形式发出《</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通知书》。《</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通知书》一经发出即发生法律效力。</w:t>
      </w:r>
    </w:p>
    <w:p w14:paraId="0B592CF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通知书》将作为签订合同的依据。</w:t>
      </w:r>
    </w:p>
    <w:p w14:paraId="23337AA6">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ascii="方正黑体_GBK" w:hAnsi="方正黑体_GBK" w:eastAsia="方正黑体_GBK" w:cs="方正黑体_GBK"/>
          <w:b w:val="0"/>
          <w:bCs w:val="0"/>
          <w:sz w:val="32"/>
          <w:szCs w:val="32"/>
          <w:lang w:eastAsia="zh-CN"/>
        </w:rPr>
      </w:pPr>
      <w:bookmarkStart w:id="80" w:name="_Toc17936"/>
      <w:r>
        <w:rPr>
          <w:rFonts w:hint="eastAsia" w:ascii="方正黑体_GBK" w:hAnsi="方正黑体_GBK" w:eastAsia="方正黑体_GBK" w:cs="方正黑体_GBK"/>
          <w:b w:val="0"/>
          <w:bCs w:val="0"/>
          <w:sz w:val="32"/>
          <w:szCs w:val="32"/>
          <w:lang w:eastAsia="zh-CN"/>
        </w:rPr>
        <w:t>九</w:t>
      </w:r>
      <w:r>
        <w:rPr>
          <w:rFonts w:hint="eastAsia" w:ascii="方正黑体_GBK" w:hAnsi="方正黑体_GBK" w:eastAsia="方正黑体_GBK" w:cs="方正黑体_GBK"/>
          <w:b w:val="0"/>
          <w:bCs w:val="0"/>
          <w:sz w:val="32"/>
          <w:szCs w:val="32"/>
        </w:rPr>
        <w:t>、资料报送截止日期</w:t>
      </w:r>
      <w:bookmarkEnd w:id="80"/>
    </w:p>
    <w:p w14:paraId="1C5861D6">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公告期限：自采购公告发布之日起</w:t>
      </w:r>
      <w:r>
        <w:rPr>
          <w:rFonts w:hint="eastAsia" w:ascii="方正仿宋_GBK" w:hAnsi="方正仿宋_GBK" w:eastAsia="方正仿宋_GBK" w:cs="方正仿宋_GBK"/>
          <w:sz w:val="32"/>
          <w:szCs w:val="32"/>
          <w:lang w:val="en-US" w:eastAsia="zh-CN"/>
        </w:rPr>
        <w:t>十</w:t>
      </w:r>
      <w:r>
        <w:rPr>
          <w:rFonts w:hint="eastAsia" w:ascii="方正仿宋_GBK" w:hAnsi="方正仿宋_GBK" w:eastAsia="方正仿宋_GBK" w:cs="方正仿宋_GBK"/>
          <w:sz w:val="32"/>
          <w:szCs w:val="32"/>
        </w:rPr>
        <w:t>个</w:t>
      </w:r>
      <w:r>
        <w:rPr>
          <w:rFonts w:hint="eastAsia" w:ascii="方正仿宋_GBK" w:hAnsi="方正仿宋_GBK" w:eastAsia="方正仿宋_GBK" w:cs="方正仿宋_GBK"/>
          <w:sz w:val="32"/>
          <w:szCs w:val="32"/>
          <w:lang w:val="en-US" w:eastAsia="zh-CN"/>
        </w:rPr>
        <w:t>日历日</w:t>
      </w:r>
      <w:r>
        <w:rPr>
          <w:rFonts w:hint="eastAsia" w:ascii="方正仿宋_GBK" w:hAnsi="方正仿宋_GBK" w:eastAsia="方正仿宋_GBK" w:cs="方正仿宋_GBK"/>
          <w:sz w:val="32"/>
          <w:szCs w:val="32"/>
        </w:rPr>
        <w:t>。</w:t>
      </w:r>
    </w:p>
    <w:p w14:paraId="39922C6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lang w:eastAsia="zh-CN"/>
        </w:rPr>
        <w:t>（二）采购文件的获取：重庆市黔江中心医院官网直接下载（http://www.qjzxyy.cn/）。</w:t>
      </w:r>
    </w:p>
    <w:p w14:paraId="16605B0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）递交响应文件地点：重庆市黔江区正阳街道正舟路南段360号，重庆市黔江中心医院科教大楼</w:t>
      </w:r>
      <w:r>
        <w:rPr>
          <w:rFonts w:hint="eastAsia" w:ascii="方正仿宋_GBK" w:hAnsi="方正仿宋_GBK" w:eastAsia="方正仿宋_GBK" w:cs="方正仿宋_GBK"/>
          <w:sz w:val="32"/>
          <w:szCs w:val="32"/>
          <w:lang w:val="en-US" w:eastAsia="zh-CN"/>
        </w:rPr>
        <w:t>二楼3会议室</w:t>
      </w:r>
      <w:r>
        <w:rPr>
          <w:rFonts w:hint="eastAsia" w:ascii="方正仿宋_GBK" w:hAnsi="方正仿宋_GBK" w:eastAsia="方正仿宋_GBK" w:cs="方正仿宋_GBK"/>
          <w:sz w:val="32"/>
          <w:szCs w:val="32"/>
        </w:rPr>
        <w:t>。</w:t>
      </w:r>
    </w:p>
    <w:p w14:paraId="290C3813">
      <w:pPr>
        <w:pageBreakBefore w:val="0"/>
        <w:kinsoku/>
        <w:wordWrap/>
        <w:overflowPunct/>
        <w:topLinePunct w:val="0"/>
        <w:autoSpaceDE/>
        <w:autoSpaceDN/>
        <w:bidi w:val="0"/>
        <w:spacing w:line="580" w:lineRule="exact"/>
        <w:ind w:firstLine="640" w:firstLineChars="200"/>
        <w:textAlignment w:val="auto"/>
        <w:rPr>
          <w:rFonts w:hint="default" w:ascii="方正仿宋_GBK" w:hAnsi="方正仿宋_GBK" w:eastAsia="方正仿宋_GBK" w:cs="方正仿宋_GBK"/>
          <w:color w:val="auto"/>
          <w:sz w:val="32"/>
          <w:szCs w:val="32"/>
          <w:lang w:val="en-US"/>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四</w:t>
      </w:r>
      <w:r>
        <w:rPr>
          <w:rFonts w:hint="eastAsia" w:ascii="方正仿宋_GBK" w:hAnsi="方正仿宋_GBK" w:eastAsia="方正仿宋_GBK" w:cs="方正仿宋_GBK"/>
          <w:color w:val="auto"/>
          <w:sz w:val="32"/>
          <w:szCs w:val="32"/>
        </w:rPr>
        <w:t>）响应文件递交截止时间：202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日北京时间</w:t>
      </w:r>
      <w:r>
        <w:rPr>
          <w:rFonts w:hint="eastAsia" w:ascii="方正仿宋_GBK" w:hAnsi="方正仿宋_GBK" w:eastAsia="方正仿宋_GBK" w:cs="方正仿宋_GBK"/>
          <w:color w:val="auto"/>
          <w:kern w:val="0"/>
          <w:sz w:val="28"/>
          <w:szCs w:val="28"/>
        </w:rPr>
        <w:t>1</w:t>
      </w:r>
      <w:r>
        <w:rPr>
          <w:rFonts w:hint="eastAsia" w:ascii="方正仿宋_GBK" w:hAnsi="方正仿宋_GBK" w:eastAsia="方正仿宋_GBK" w:cs="方正仿宋_GBK"/>
          <w:color w:val="auto"/>
          <w:kern w:val="0"/>
          <w:sz w:val="28"/>
          <w:szCs w:val="28"/>
          <w:lang w:val="en-US" w:eastAsia="zh-CN"/>
        </w:rPr>
        <w:t>4</w:t>
      </w:r>
      <w:r>
        <w:rPr>
          <w:rFonts w:hint="eastAsia" w:ascii="方正仿宋_GBK" w:hAnsi="方正仿宋_GBK" w:eastAsia="方正仿宋_GBK" w:cs="方正仿宋_GBK"/>
          <w:color w:val="auto"/>
          <w:kern w:val="0"/>
          <w:sz w:val="28"/>
          <w:szCs w:val="28"/>
        </w:rPr>
        <w:t>时</w:t>
      </w:r>
      <w:r>
        <w:rPr>
          <w:rFonts w:hint="eastAsia" w:ascii="方正仿宋_GBK" w:hAnsi="方正仿宋_GBK" w:eastAsia="方正仿宋_GBK" w:cs="方正仿宋_GBK"/>
          <w:color w:val="auto"/>
          <w:kern w:val="0"/>
          <w:sz w:val="28"/>
          <w:szCs w:val="28"/>
          <w:lang w:val="en-US" w:eastAsia="zh-CN"/>
        </w:rPr>
        <w:t>3</w:t>
      </w:r>
      <w:r>
        <w:rPr>
          <w:rFonts w:hint="eastAsia" w:ascii="方正仿宋_GBK" w:hAnsi="方正仿宋_GBK" w:eastAsia="方正仿宋_GBK" w:cs="方正仿宋_GBK"/>
          <w:color w:val="auto"/>
          <w:kern w:val="0"/>
          <w:sz w:val="28"/>
          <w:szCs w:val="28"/>
        </w:rPr>
        <w:t>0分</w:t>
      </w:r>
    </w:p>
    <w:p w14:paraId="57B889B0">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五</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采购</w:t>
      </w:r>
      <w:r>
        <w:rPr>
          <w:rFonts w:hint="eastAsia" w:ascii="方正仿宋_GBK" w:hAnsi="方正仿宋_GBK" w:eastAsia="方正仿宋_GBK" w:cs="方正仿宋_GBK"/>
          <w:color w:val="auto"/>
          <w:sz w:val="32"/>
          <w:szCs w:val="32"/>
        </w:rPr>
        <w:t>开始时间：202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日北京时间</w:t>
      </w:r>
      <w:r>
        <w:rPr>
          <w:rFonts w:hint="eastAsia" w:ascii="方正仿宋_GBK" w:hAnsi="方正仿宋_GBK" w:eastAsia="方正仿宋_GBK" w:cs="方正仿宋_GBK"/>
          <w:color w:val="auto"/>
          <w:kern w:val="0"/>
          <w:sz w:val="28"/>
          <w:szCs w:val="28"/>
        </w:rPr>
        <w:t>1</w:t>
      </w:r>
      <w:r>
        <w:rPr>
          <w:rFonts w:hint="eastAsia" w:ascii="方正仿宋_GBK" w:hAnsi="方正仿宋_GBK" w:eastAsia="方正仿宋_GBK" w:cs="方正仿宋_GBK"/>
          <w:color w:val="auto"/>
          <w:kern w:val="0"/>
          <w:sz w:val="28"/>
          <w:szCs w:val="28"/>
          <w:lang w:val="en-US" w:eastAsia="zh-CN"/>
        </w:rPr>
        <w:t>4</w:t>
      </w:r>
      <w:r>
        <w:rPr>
          <w:rFonts w:hint="eastAsia" w:ascii="方正仿宋_GBK" w:hAnsi="方正仿宋_GBK" w:eastAsia="方正仿宋_GBK" w:cs="方正仿宋_GBK"/>
          <w:color w:val="auto"/>
          <w:kern w:val="0"/>
          <w:sz w:val="28"/>
          <w:szCs w:val="28"/>
        </w:rPr>
        <w:t>时</w:t>
      </w:r>
      <w:r>
        <w:rPr>
          <w:rFonts w:hint="eastAsia" w:ascii="方正仿宋_GBK" w:hAnsi="方正仿宋_GBK" w:eastAsia="方正仿宋_GBK" w:cs="方正仿宋_GBK"/>
          <w:color w:val="auto"/>
          <w:kern w:val="0"/>
          <w:sz w:val="28"/>
          <w:szCs w:val="28"/>
          <w:lang w:val="en-US" w:eastAsia="zh-CN"/>
        </w:rPr>
        <w:t>3</w:t>
      </w:r>
      <w:r>
        <w:rPr>
          <w:rFonts w:hint="eastAsia" w:ascii="方正仿宋_GBK" w:hAnsi="方正仿宋_GBK" w:eastAsia="方正仿宋_GBK" w:cs="方正仿宋_GBK"/>
          <w:color w:val="auto"/>
          <w:kern w:val="0"/>
          <w:sz w:val="28"/>
          <w:szCs w:val="28"/>
        </w:rPr>
        <w:t>0分</w:t>
      </w:r>
    </w:p>
    <w:p w14:paraId="1258690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color w:val="auto"/>
          <w:sz w:val="32"/>
          <w:szCs w:val="32"/>
          <w:lang w:val="en-US" w:eastAsia="zh-CN"/>
        </w:rPr>
        <w:t>（六）</w:t>
      </w:r>
      <w:r>
        <w:rPr>
          <w:rFonts w:hint="eastAsia" w:ascii="方正仿宋_GBK" w:hAnsi="方正仿宋_GBK" w:eastAsia="方正仿宋_GBK" w:cs="方正仿宋_GBK"/>
          <w:color w:val="auto"/>
          <w:sz w:val="32"/>
          <w:szCs w:val="32"/>
          <w:lang w:eastAsia="zh-CN"/>
        </w:rPr>
        <w:t>联系</w:t>
      </w:r>
      <w:r>
        <w:rPr>
          <w:rFonts w:hint="eastAsia" w:ascii="方正仿宋_GBK" w:hAnsi="方正仿宋_GBK" w:eastAsia="方正仿宋_GBK" w:cs="方正仿宋_GBK"/>
          <w:b w:val="0"/>
          <w:bCs w:val="0"/>
          <w:color w:val="auto"/>
          <w:sz w:val="32"/>
          <w:szCs w:val="32"/>
        </w:rPr>
        <w:t>人</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罗</w:t>
      </w:r>
      <w:r>
        <w:rPr>
          <w:rFonts w:hint="eastAsia" w:ascii="方正仿宋_GBK" w:hAnsi="方正仿宋_GBK" w:eastAsia="方正仿宋_GBK" w:cs="方正仿宋_GBK"/>
          <w:color w:val="auto"/>
          <w:sz w:val="32"/>
          <w:szCs w:val="32"/>
        </w:rPr>
        <w:t>老师</w:t>
      </w:r>
      <w:r>
        <w:rPr>
          <w:rFonts w:hint="eastAsia" w:ascii="方正仿宋_GBK" w:hAnsi="方正仿宋_GBK" w:eastAsia="方正仿宋_GBK" w:cs="方正仿宋_GBK"/>
          <w:b w:val="0"/>
          <w:bCs w:val="0"/>
          <w:color w:val="auto"/>
          <w:sz w:val="32"/>
          <w:szCs w:val="32"/>
        </w:rPr>
        <w:t>, 联系电话</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color w:val="auto"/>
          <w:sz w:val="32"/>
          <w:szCs w:val="32"/>
        </w:rPr>
        <w:t>023-</w:t>
      </w:r>
      <w:r>
        <w:rPr>
          <w:rFonts w:hint="eastAsia" w:ascii="方正仿宋_GBK" w:hAnsi="方正仿宋_GBK" w:eastAsia="方正仿宋_GBK" w:cs="方正仿宋_GBK"/>
          <w:color w:val="auto"/>
          <w:sz w:val="32"/>
          <w:szCs w:val="32"/>
          <w:lang w:val="en-US" w:eastAsia="zh-CN"/>
        </w:rPr>
        <w:t>79222258</w:t>
      </w:r>
      <w:r>
        <w:rPr>
          <w:rFonts w:hint="eastAsia" w:ascii="方正仿宋_GBK" w:hAnsi="方正仿宋_GBK" w:eastAsia="方正仿宋_GBK" w:cs="方正仿宋_GBK"/>
          <w:b w:val="0"/>
          <w:bCs w:val="0"/>
          <w:color w:val="auto"/>
          <w:sz w:val="32"/>
          <w:szCs w:val="32"/>
        </w:rPr>
        <w:t>。</w:t>
      </w:r>
    </w:p>
    <w:p w14:paraId="5D0B9532">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（七）</w:t>
      </w:r>
      <w:r>
        <w:rPr>
          <w:rFonts w:hint="eastAsia" w:ascii="方正仿宋_GBK" w:hAnsi="方正仿宋_GBK" w:eastAsia="方正仿宋_GBK" w:cs="方正仿宋_GBK"/>
          <w:color w:val="auto"/>
          <w:sz w:val="32"/>
          <w:szCs w:val="32"/>
        </w:rPr>
        <w:t>地  址：</w:t>
      </w:r>
      <w:r>
        <w:rPr>
          <w:rFonts w:hint="eastAsia" w:eastAsia="方正仿宋_GBK"/>
          <w:snapToGrid w:val="0"/>
          <w:color w:val="auto"/>
          <w:kern w:val="0"/>
          <w:sz w:val="32"/>
          <w:szCs w:val="32"/>
          <w:u w:val="none"/>
        </w:rPr>
        <w:t>黔江区正阳街道</w:t>
      </w:r>
      <w:r>
        <w:rPr>
          <w:rFonts w:hint="eastAsia" w:eastAsia="方正仿宋_GBK"/>
          <w:snapToGrid w:val="0"/>
          <w:color w:val="auto"/>
          <w:kern w:val="0"/>
          <w:sz w:val="32"/>
          <w:szCs w:val="32"/>
          <w:u w:val="none"/>
          <w:lang w:eastAsia="zh-CN"/>
        </w:rPr>
        <w:t>桐坪社区</w:t>
      </w:r>
      <w:r>
        <w:rPr>
          <w:rFonts w:hint="eastAsia" w:eastAsia="方正仿宋_GBK"/>
          <w:snapToGrid w:val="0"/>
          <w:color w:val="auto"/>
          <w:kern w:val="0"/>
          <w:sz w:val="32"/>
          <w:szCs w:val="32"/>
          <w:u w:val="none"/>
        </w:rPr>
        <w:t>正舟路南段360号</w:t>
      </w:r>
    </w:p>
    <w:p w14:paraId="38872B02">
      <w:pPr>
        <w:pStyle w:val="3"/>
        <w:keepNext/>
        <w:keepLines w:val="0"/>
        <w:pageBreakBefore w:val="0"/>
        <w:widowControl w:val="0"/>
        <w:tabs>
          <w:tab w:val="left" w:pos="3360"/>
        </w:tabs>
        <w:kinsoku/>
        <w:wordWrap/>
        <w:overflowPunct/>
        <w:topLinePunct w:val="0"/>
        <w:autoSpaceDE/>
        <w:autoSpaceDN/>
        <w:bidi w:val="0"/>
        <w:adjustRightInd/>
        <w:snapToGrid w:val="0"/>
        <w:spacing w:line="560" w:lineRule="exact"/>
        <w:ind w:right="0" w:firstLine="640" w:firstLineChars="200"/>
        <w:jc w:val="left"/>
        <w:textAlignment w:val="auto"/>
        <w:rPr>
          <w:rFonts w:hint="eastAsia"/>
        </w:rPr>
      </w:pPr>
      <w:bookmarkStart w:id="81" w:name="_Toc5150"/>
      <w:bookmarkStart w:id="82" w:name="_Toc2705"/>
      <w:bookmarkStart w:id="83" w:name="_Toc23433"/>
      <w:bookmarkStart w:id="84" w:name="_Toc429"/>
      <w:bookmarkStart w:id="85" w:name="_Toc29379"/>
      <w:bookmarkStart w:id="86" w:name="_Toc17879"/>
      <w:bookmarkStart w:id="87" w:name="_Toc2393"/>
      <w:bookmarkStart w:id="88" w:name="_Toc23212"/>
      <w:bookmarkStart w:id="89" w:name="_Toc76462349"/>
      <w:bookmarkStart w:id="90" w:name="_Toc6342"/>
      <w:bookmarkStart w:id="91" w:name="_Toc15809"/>
      <w:bookmarkStart w:id="92" w:name="_Toc11390"/>
      <w:bookmarkStart w:id="93" w:name="_Toc27521"/>
      <w:bookmarkStart w:id="94" w:name="_Toc16351"/>
      <w:bookmarkStart w:id="95" w:name="_Toc9338"/>
      <w:bookmarkStart w:id="96" w:name="_Toc11195"/>
      <w:bookmarkStart w:id="97" w:name="_Toc7605"/>
      <w:bookmarkStart w:id="98" w:name="_Toc19195"/>
      <w:bookmarkStart w:id="99" w:name="_Toc788"/>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响应文件编制要求</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Fonts w:hint="eastAsia" w:ascii="方正黑体_GBK" w:hAnsi="方正黑体_GBK" w:eastAsia="方正黑体_GBK" w:cs="方正黑体_GBK"/>
          <w:b w:val="0"/>
          <w:bCs w:val="0"/>
          <w:sz w:val="32"/>
          <w:szCs w:val="32"/>
          <w:lang w:eastAsia="zh-CN"/>
        </w:rPr>
        <w:t>：</w:t>
      </w:r>
      <w:bookmarkEnd w:id="99"/>
    </w:p>
    <w:p w14:paraId="4FC0458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经济部分</w:t>
      </w:r>
    </w:p>
    <w:p w14:paraId="53629CA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eastAsia="zh-CN"/>
        </w:rPr>
        <w:t>采购报价函</w:t>
      </w:r>
    </w:p>
    <w:p w14:paraId="37119F1C">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最终报价函</w:t>
      </w:r>
    </w:p>
    <w:p w14:paraId="5B93098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资格条件及其他</w:t>
      </w:r>
    </w:p>
    <w:p w14:paraId="2A716EC1">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法人营业执照（副本）或事业单位法人证书（副本）或个体工商户营业执照或有效的自然人身份证明或社会团体法人登记证书复印件</w:t>
      </w:r>
    </w:p>
    <w:p w14:paraId="2BA1B47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法定代表人身份证明书（格式）</w:t>
      </w:r>
    </w:p>
    <w:p w14:paraId="11E80F8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法定代表人授权委托书（格式）</w:t>
      </w:r>
    </w:p>
    <w:p w14:paraId="46765479">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基本资格条件承诺函</w:t>
      </w:r>
    </w:p>
    <w:p w14:paraId="4F648D0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特定资格条件证书或证明文件（如果有）</w:t>
      </w:r>
    </w:p>
    <w:p w14:paraId="5D380BBC">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其他资料</w:t>
      </w:r>
    </w:p>
    <w:p w14:paraId="4553959C">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lang w:eastAsia="zh-CN"/>
        </w:rPr>
        <w:sectPr>
          <w:headerReference r:id="rId3" w:type="default"/>
          <w:footerReference r:id="rId4" w:type="default"/>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sz w:val="32"/>
          <w:szCs w:val="32"/>
        </w:rPr>
        <w:t>其他与项目有关的资料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格式自拟</w:t>
      </w:r>
      <w:r>
        <w:rPr>
          <w:rFonts w:hint="eastAsia" w:ascii="方正仿宋_GBK" w:hAnsi="方正仿宋_GBK" w:eastAsia="方正仿宋_GBK" w:cs="方正仿宋_GBK"/>
          <w:sz w:val="32"/>
          <w:szCs w:val="32"/>
          <w:lang w:eastAsia="zh-CN"/>
        </w:rPr>
        <w:t>）</w:t>
      </w:r>
    </w:p>
    <w:p w14:paraId="3FEFD115">
      <w:pPr>
        <w:pStyle w:val="2"/>
        <w:pageBreakBefore w:val="0"/>
        <w:kinsoku/>
        <w:wordWrap/>
        <w:overflowPunct/>
        <w:topLinePunct w:val="0"/>
        <w:autoSpaceDE/>
        <w:autoSpaceDN/>
        <w:bidi w:val="0"/>
        <w:adjustRightInd w:val="0"/>
        <w:snapToGrid w:val="0"/>
        <w:spacing w:before="0" w:after="0" w:line="580" w:lineRule="exact"/>
        <w:jc w:val="left"/>
        <w:textAlignment w:val="auto"/>
        <w:rPr>
          <w:rFonts w:hint="eastAsia" w:ascii="方正黑体_GBK" w:hAnsi="方正黑体_GBK" w:eastAsia="方正黑体_GBK" w:cs="方正黑体_GBK"/>
          <w:b w:val="0"/>
          <w:bCs/>
          <w:sz w:val="32"/>
          <w:szCs w:val="32"/>
        </w:rPr>
      </w:pPr>
      <w:bookmarkStart w:id="100" w:name="_Toc32301"/>
      <w:bookmarkStart w:id="101" w:name="_Toc32046"/>
      <w:bookmarkStart w:id="102" w:name="_Toc313008356"/>
      <w:bookmarkStart w:id="103" w:name="_Toc29707"/>
      <w:bookmarkStart w:id="104" w:name="_Toc13221"/>
      <w:bookmarkStart w:id="105" w:name="_Toc19492"/>
      <w:bookmarkStart w:id="106" w:name="_Toc21652"/>
      <w:bookmarkStart w:id="107" w:name="_Toc313888360"/>
      <w:bookmarkStart w:id="108" w:name="_Toc16224"/>
      <w:bookmarkStart w:id="109" w:name="_Toc27684"/>
      <w:bookmarkStart w:id="110" w:name="_Toc18885"/>
      <w:bookmarkStart w:id="111" w:name="_Toc13366"/>
      <w:bookmarkStart w:id="112" w:name="_Toc15773"/>
      <w:bookmarkStart w:id="113" w:name="_Toc30801"/>
      <w:bookmarkStart w:id="114" w:name="_Toc5655"/>
      <w:bookmarkStart w:id="115" w:name="_Toc76462350"/>
      <w:bookmarkStart w:id="116" w:name="_Toc17915"/>
      <w:bookmarkStart w:id="117" w:name="_Toc31455"/>
      <w:bookmarkStart w:id="118" w:name="_Toc14916"/>
      <w:bookmarkStart w:id="119" w:name="_Toc13181"/>
      <w:bookmarkStart w:id="120" w:name="_Toc342913419"/>
      <w:bookmarkStart w:id="121" w:name="_Toc12292"/>
      <w:bookmarkStart w:id="122" w:name="_Toc283382454"/>
      <w:bookmarkStart w:id="123" w:name="_Toc12789073"/>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一</w:t>
      </w: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经济部分</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bookmarkEnd w:id="122"/>
    <w:bookmarkEnd w:id="123"/>
    <w:p w14:paraId="74CF5E50">
      <w:pPr>
        <w:pageBreakBefore w:val="0"/>
        <w:kinsoku/>
        <w:wordWrap/>
        <w:overflowPunct/>
        <w:topLinePunct w:val="0"/>
        <w:autoSpaceDE/>
        <w:autoSpaceDN/>
        <w:bidi w:val="0"/>
        <w:spacing w:line="580" w:lineRule="exact"/>
        <w:jc w:val="left"/>
        <w:textAlignment w:val="auto"/>
        <w:rPr>
          <w:rFonts w:hint="default" w:ascii="方正仿宋_GBK" w:hAnsi="方正仿宋_GBK" w:eastAsia="方正仿宋_GBK" w:cs="方正仿宋_GBK"/>
          <w:b/>
          <w:bCs w:val="0"/>
          <w:sz w:val="32"/>
          <w:szCs w:val="32"/>
          <w:lang w:val="en-US" w:eastAsia="zh-CN"/>
        </w:rPr>
      </w:pPr>
      <w:r>
        <w:rPr>
          <w:rFonts w:hint="eastAsia" w:ascii="方正仿宋_GBK" w:hAnsi="方正仿宋_GBK" w:eastAsia="方正仿宋_GBK" w:cs="方正仿宋_GBK"/>
          <w:b/>
          <w:bCs w:val="0"/>
          <w:sz w:val="32"/>
          <w:szCs w:val="32"/>
          <w:lang w:val="en-US" w:eastAsia="zh-CN"/>
        </w:rPr>
        <w:t xml:space="preserve">     1.采购报价函</w:t>
      </w:r>
    </w:p>
    <w:p w14:paraId="6D2FAA38">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b/>
          <w:bCs w:val="0"/>
          <w:sz w:val="32"/>
          <w:szCs w:val="32"/>
        </w:rPr>
      </w:pPr>
      <w:r>
        <w:rPr>
          <w:rFonts w:hint="eastAsia" w:ascii="方正仿宋_GBK" w:hAnsi="方正仿宋_GBK" w:eastAsia="方正仿宋_GBK" w:cs="方正仿宋_GBK"/>
          <w:b/>
          <w:bCs w:val="0"/>
          <w:sz w:val="32"/>
          <w:szCs w:val="32"/>
          <w:lang w:eastAsia="zh-CN"/>
        </w:rPr>
        <w:t>采购</w:t>
      </w:r>
      <w:r>
        <w:rPr>
          <w:rFonts w:hint="eastAsia" w:ascii="方正仿宋_GBK" w:hAnsi="方正仿宋_GBK" w:eastAsia="方正仿宋_GBK" w:cs="方正仿宋_GBK"/>
          <w:b/>
          <w:bCs w:val="0"/>
          <w:sz w:val="32"/>
          <w:szCs w:val="32"/>
        </w:rPr>
        <w:t>报价函</w:t>
      </w:r>
    </w:p>
    <w:p w14:paraId="524B6023">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u w:val="single"/>
          <w:lang w:val="en-US" w:eastAsia="zh-CN"/>
        </w:rPr>
        <w:t>采购人名称</w:t>
      </w: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rPr>
        <w:t>：</w:t>
      </w:r>
    </w:p>
    <w:p w14:paraId="601BB5C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我方收到____________________________（</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项目名称）的</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文件，经详细研究，决定参加该项目的</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w:t>
      </w:r>
    </w:p>
    <w:p w14:paraId="7455A64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1.愿意按照</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文件中的一切要求，提供本项目的服务，初始报价为人民币大写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元整；人民币小写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元。以我公司最后报价为准。</w:t>
      </w:r>
    </w:p>
    <w:p w14:paraId="78D0DE9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2.我方现提交的响应文件为：响应文件正本</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份，电子文档</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份。</w:t>
      </w:r>
    </w:p>
    <w:p w14:paraId="56AC7FD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3.我方承诺：本次</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的有效期为提交响应文件截止时间起90天。</w:t>
      </w:r>
    </w:p>
    <w:p w14:paraId="2E9CDE2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4.我方完全理解和接受贵方</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文件的一切规定和要求及评审办法。</w:t>
      </w:r>
    </w:p>
    <w:p w14:paraId="1CB49FE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5.在整个</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过程中，我方若有违规行为，接受按照《中华人民共和国政府采购法》和《</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文件》之规定给予惩罚。</w:t>
      </w:r>
    </w:p>
    <w:p w14:paraId="7E24831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6.我方若成为</w:t>
      </w:r>
      <w:r>
        <w:rPr>
          <w:rFonts w:hint="eastAsia" w:ascii="方正仿宋_GBK" w:hAnsi="方正仿宋_GBK" w:eastAsia="方正仿宋_GBK" w:cs="方正仿宋_GBK"/>
          <w:sz w:val="32"/>
          <w:szCs w:val="32"/>
          <w:lang w:eastAsia="zh-CN"/>
        </w:rPr>
        <w:t>成交</w:t>
      </w:r>
      <w:r>
        <w:rPr>
          <w:rFonts w:hint="eastAsia" w:ascii="方正仿宋_GBK" w:hAnsi="方正仿宋_GBK" w:eastAsia="方正仿宋_GBK" w:cs="方正仿宋_GBK"/>
          <w:sz w:val="32"/>
          <w:szCs w:val="32"/>
        </w:rPr>
        <w:t>供应商，将按照最终</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结果签订合同，并且严格履行合同义务。本承诺函将成为合同不可分割的一部分，与合同具有同等的法律效力。</w:t>
      </w:r>
    </w:p>
    <w:p w14:paraId="4FE86A6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供应商（公章）或自然人签署：</w:t>
      </w:r>
    </w:p>
    <w:p w14:paraId="4D9A0F1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地址：  </w:t>
      </w:r>
    </w:p>
    <w:p w14:paraId="15413F2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电话：                                             </w:t>
      </w:r>
    </w:p>
    <w:p w14:paraId="5E6AE77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传真：</w:t>
      </w:r>
    </w:p>
    <w:p w14:paraId="79D1980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网址：                                             </w:t>
      </w:r>
    </w:p>
    <w:p w14:paraId="0DC6368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邮编：</w:t>
      </w:r>
    </w:p>
    <w:p w14:paraId="48A8B57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w:t>
      </w:r>
    </w:p>
    <w:p w14:paraId="370AB2DB">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sz w:val="32"/>
          <w:szCs w:val="32"/>
        </w:rPr>
        <w:t xml:space="preserve">                             年   月   日</w:t>
      </w:r>
    </w:p>
    <w:p w14:paraId="3F7C2A81">
      <w:pPr>
        <w:numPr>
          <w:ilvl w:val="0"/>
          <w:numId w:val="0"/>
        </w:numPr>
        <w:spacing w:line="360" w:lineRule="auto"/>
        <w:ind w:firstLine="643" w:firstLineChars="200"/>
        <w:rPr>
          <w:rFonts w:hint="eastAsia" w:ascii="方正仿宋_GBK" w:hAnsi="方正仿宋_GBK" w:eastAsia="方正仿宋_GBK" w:cs="方正仿宋_GBK"/>
          <w:b/>
          <w:bCs/>
          <w:sz w:val="32"/>
          <w:szCs w:val="32"/>
        </w:rPr>
      </w:pPr>
      <w:bookmarkStart w:id="124" w:name="_Toc342913422"/>
      <w:bookmarkStart w:id="125" w:name="_Toc190"/>
      <w:bookmarkStart w:id="126" w:name="_Toc21368"/>
      <w:bookmarkStart w:id="127" w:name="_Toc22916"/>
      <w:bookmarkStart w:id="128" w:name="_Toc1742"/>
      <w:bookmarkStart w:id="129" w:name="_Toc313888363"/>
      <w:bookmarkStart w:id="130" w:name="_Toc4499"/>
      <w:bookmarkStart w:id="131" w:name="_Toc6829"/>
      <w:bookmarkStart w:id="132" w:name="_Toc25332"/>
      <w:bookmarkStart w:id="133" w:name="_Toc10514"/>
      <w:bookmarkStart w:id="134" w:name="_Toc9472"/>
      <w:bookmarkStart w:id="135" w:name="_Toc6268"/>
      <w:bookmarkStart w:id="136" w:name="_Toc23426"/>
      <w:bookmarkStart w:id="137" w:name="_Toc313008359"/>
      <w:bookmarkStart w:id="138" w:name="_Toc12319"/>
      <w:bookmarkStart w:id="139" w:name="_Toc76462353"/>
      <w:bookmarkStart w:id="140" w:name="_Toc20384"/>
      <w:bookmarkStart w:id="141" w:name="_Toc10729"/>
      <w:bookmarkStart w:id="142" w:name="_Toc19652"/>
      <w:bookmarkStart w:id="143" w:name="_Toc8004"/>
      <w:bookmarkStart w:id="144" w:name="_Toc28090"/>
      <w:bookmarkStart w:id="145" w:name="_Toc6135"/>
      <w:r>
        <w:rPr>
          <w:rFonts w:hint="eastAsia" w:ascii="方正仿宋_GBK" w:hAnsi="方正仿宋_GBK" w:eastAsia="方正仿宋_GBK" w:cs="方正仿宋_GBK"/>
          <w:b/>
          <w:bCs/>
          <w:sz w:val="32"/>
          <w:szCs w:val="32"/>
          <w:lang w:val="en-US" w:eastAsia="zh-CN"/>
        </w:rPr>
        <w:t>2.</w:t>
      </w:r>
      <w:r>
        <w:rPr>
          <w:rFonts w:hint="eastAsia" w:ascii="方正仿宋_GBK" w:hAnsi="方正仿宋_GBK" w:eastAsia="方正仿宋_GBK" w:cs="方正仿宋_GBK"/>
          <w:b/>
          <w:bCs/>
          <w:sz w:val="32"/>
          <w:szCs w:val="32"/>
        </w:rPr>
        <w:t>最终报价函（单独封装，</w:t>
      </w:r>
      <w:r>
        <w:rPr>
          <w:rFonts w:hint="eastAsia" w:ascii="方正仿宋_GBK" w:hAnsi="方正仿宋_GBK" w:eastAsia="方正仿宋_GBK" w:cs="方正仿宋_GBK"/>
          <w:b/>
          <w:bCs/>
          <w:sz w:val="32"/>
          <w:szCs w:val="32"/>
          <w:lang w:eastAsia="zh-CN"/>
        </w:rPr>
        <w:t>可</w:t>
      </w:r>
      <w:r>
        <w:rPr>
          <w:rFonts w:hint="eastAsia" w:ascii="方正仿宋_GBK" w:hAnsi="方正仿宋_GBK" w:eastAsia="方正仿宋_GBK" w:cs="方正仿宋_GBK"/>
          <w:b/>
          <w:bCs/>
          <w:sz w:val="32"/>
          <w:szCs w:val="32"/>
        </w:rPr>
        <w:t>现场填写）</w:t>
      </w:r>
    </w:p>
    <w:p w14:paraId="01C92AEF">
      <w:pPr>
        <w:spacing w:line="360" w:lineRule="auto"/>
        <w:ind w:firstLine="643" w:firstLineChars="200"/>
        <w:jc w:val="center"/>
        <w:rPr>
          <w:rFonts w:hint="eastAsia" w:eastAsia="方正仿宋_GBK"/>
          <w:b/>
          <w:sz w:val="32"/>
          <w:szCs w:val="32"/>
          <w:lang w:val="en-US" w:eastAsia="zh-CN"/>
        </w:rPr>
      </w:pPr>
    </w:p>
    <w:p w14:paraId="5DF301A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方正仿宋_GBK"/>
          <w:sz w:val="32"/>
          <w:szCs w:val="32"/>
        </w:rPr>
      </w:pPr>
      <w:r>
        <w:rPr>
          <w:rFonts w:hint="eastAsia" w:eastAsia="方正仿宋_GBK"/>
          <w:b/>
          <w:sz w:val="32"/>
          <w:szCs w:val="32"/>
          <w:lang w:val="en-US" w:eastAsia="zh-CN"/>
        </w:rPr>
        <w:t>最终</w:t>
      </w:r>
      <w:r>
        <w:rPr>
          <w:rFonts w:hint="eastAsia" w:eastAsia="方正仿宋_GBK"/>
          <w:b/>
          <w:sz w:val="32"/>
          <w:szCs w:val="32"/>
        </w:rPr>
        <w:t>报价函</w:t>
      </w:r>
    </w:p>
    <w:p w14:paraId="4C74DA31">
      <w:pPr>
        <w:keepNext w:val="0"/>
        <w:keepLines w:val="0"/>
        <w:pageBreakBefore w:val="0"/>
        <w:widowControl w:val="0"/>
        <w:tabs>
          <w:tab w:val="left" w:pos="6300"/>
        </w:tabs>
        <w:kinsoku/>
        <w:wordWrap/>
        <w:overflowPunct/>
        <w:topLinePunct w:val="0"/>
        <w:autoSpaceDE/>
        <w:autoSpaceDN/>
        <w:bidi w:val="0"/>
        <w:adjustRightInd/>
        <w:snapToGrid w:val="0"/>
        <w:spacing w:line="580" w:lineRule="exact"/>
        <w:ind w:left="0" w:leftChars="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按照竞争性</w:t>
      </w:r>
      <w:r>
        <w:rPr>
          <w:rFonts w:hint="eastAsia" w:ascii="方正仿宋_GBK" w:hAnsi="方正仿宋_GBK" w:eastAsia="方正仿宋_GBK" w:cs="方正仿宋_GBK"/>
          <w:sz w:val="32"/>
          <w:szCs w:val="32"/>
          <w:lang w:val="en-US" w:eastAsia="zh-CN"/>
        </w:rPr>
        <w:t>磋商</w:t>
      </w:r>
      <w:r>
        <w:rPr>
          <w:rFonts w:hint="eastAsia" w:ascii="方正仿宋_GBK" w:hAnsi="方正仿宋_GBK" w:eastAsia="方正仿宋_GBK" w:cs="方正仿宋_GBK"/>
          <w:sz w:val="32"/>
          <w:szCs w:val="32"/>
        </w:rPr>
        <w:t>文件要求，我公司最终报价为人民币大写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元整，人民币小写</w:t>
      </w:r>
      <w:r>
        <w:rPr>
          <w:rFonts w:hint="eastAsia" w:ascii="方正仿宋_GBK" w:hAnsi="方正仿宋_GBK" w:eastAsia="方正仿宋_GBK" w:cs="方正仿宋_GBK"/>
          <w:sz w:val="32"/>
          <w:szCs w:val="32"/>
          <w:u w:val="none"/>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元。</w:t>
      </w:r>
    </w:p>
    <w:p w14:paraId="365E922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p>
    <w:p w14:paraId="7B2CAA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bookmarkStart w:id="166" w:name="_GoBack"/>
      <w:bookmarkEnd w:id="166"/>
    </w:p>
    <w:p w14:paraId="5603D8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w:t>
      </w:r>
    </w:p>
    <w:p w14:paraId="6E5A975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地址：  </w:t>
      </w:r>
    </w:p>
    <w:p w14:paraId="1BD7BE3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电话：                           传真：</w:t>
      </w:r>
    </w:p>
    <w:p w14:paraId="423BE21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网址：                           邮编：</w:t>
      </w:r>
    </w:p>
    <w:p w14:paraId="4466C67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w:t>
      </w:r>
    </w:p>
    <w:p w14:paraId="4E12E42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7A3ED3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41B3E99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p>
    <w:p w14:paraId="441852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授权代表：</w:t>
      </w:r>
      <w:r>
        <w:rPr>
          <w:rFonts w:hint="eastAsia" w:ascii="方正仿宋_GBK" w:hAnsi="方正仿宋_GBK" w:eastAsia="方正仿宋_GBK" w:cs="方正仿宋_GBK"/>
          <w:sz w:val="32"/>
          <w:szCs w:val="32"/>
        </w:rPr>
        <w:t xml:space="preserve">         </w:t>
      </w:r>
    </w:p>
    <w:p w14:paraId="6535B6B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w:t>
      </w:r>
      <w:r>
        <w:rPr>
          <w:rFonts w:hint="eastAsia" w:ascii="方正仿宋_GBK" w:hAnsi="方正仿宋_GBK" w:eastAsia="方正仿宋_GBK" w:cs="方正仿宋_GBK"/>
          <w:sz w:val="32"/>
          <w:szCs w:val="32"/>
          <w:lang w:eastAsia="zh-CN"/>
        </w:rPr>
        <w:t>日</w:t>
      </w:r>
    </w:p>
    <w:p w14:paraId="23B96665">
      <w:pPr>
        <w:rPr>
          <w:rFonts w:hint="eastAsia" w:ascii="方正黑体_GBK" w:hAnsi="方正黑体_GBK" w:eastAsia="方正黑体_GBK" w:cs="方正黑体_GBK"/>
          <w:b w:val="0"/>
          <w:bCs/>
          <w:sz w:val="32"/>
          <w:szCs w:val="32"/>
          <w:lang w:eastAsia="zh-CN"/>
        </w:rPr>
      </w:pPr>
    </w:p>
    <w:p w14:paraId="02C29BB4">
      <w:pPr>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val="0"/>
          <w:bCs/>
          <w:sz w:val="32"/>
          <w:szCs w:val="32"/>
          <w:lang w:eastAsia="zh-CN"/>
        </w:rPr>
        <w:br w:type="page"/>
      </w:r>
    </w:p>
    <w:p w14:paraId="277006EA">
      <w:pPr>
        <w:pStyle w:val="2"/>
        <w:pageBreakBefore w:val="0"/>
        <w:kinsoku/>
        <w:wordWrap/>
        <w:overflowPunct/>
        <w:topLinePunct w:val="0"/>
        <w:autoSpaceDE/>
        <w:autoSpaceDN/>
        <w:bidi w:val="0"/>
        <w:adjustRightInd w:val="0"/>
        <w:snapToGrid w:val="0"/>
        <w:spacing w:before="0" w:after="0" w:line="580" w:lineRule="exact"/>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lang w:val="en-US" w:eastAsia="zh-CN"/>
        </w:rPr>
        <w:t>二</w:t>
      </w: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资格条件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Fonts w:hint="eastAsia" w:ascii="方正黑体_GBK" w:hAnsi="方正黑体_GBK" w:eastAsia="方正黑体_GBK" w:cs="方正黑体_GBK"/>
          <w:b w:val="0"/>
          <w:bCs/>
          <w:sz w:val="32"/>
          <w:szCs w:val="32"/>
        </w:rPr>
        <w:t>及其他</w:t>
      </w:r>
      <w:bookmarkEnd w:id="143"/>
      <w:bookmarkEnd w:id="144"/>
      <w:bookmarkEnd w:id="145"/>
    </w:p>
    <w:p w14:paraId="2FAB69C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1.</w:t>
      </w:r>
      <w:r>
        <w:rPr>
          <w:rFonts w:hint="eastAsia" w:ascii="方正楷体_GBK" w:hAnsi="方正楷体_GBK" w:eastAsia="方正楷体_GBK" w:cs="方正楷体_GBK"/>
          <w:sz w:val="32"/>
          <w:szCs w:val="32"/>
        </w:rPr>
        <w:t>法人营业执照（副本）或事业单位法人证书（副本）或个体工商户营业执照或有效的自然人身份证明或社会团体法人登记证书复印件</w:t>
      </w:r>
    </w:p>
    <w:p w14:paraId="1966C3A8">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76BAD04">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4AF8F5A4">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CCD6CBB">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763EAF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2219900">
      <w:pPr>
        <w:pageBreakBefore w:val="0"/>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r>
        <w:rPr>
          <w:rFonts w:hint="eastAsia" w:ascii="方正仿宋_GBK" w:hAnsi="方正仿宋_GBK" w:eastAsia="方正仿宋_GBK" w:cs="方正仿宋_GBK"/>
          <w:sz w:val="32"/>
          <w:szCs w:val="32"/>
          <w:lang w:val="en-US" w:eastAsia="zh-CN"/>
        </w:rPr>
        <w:t xml:space="preserve">  </w:t>
      </w:r>
      <w:r>
        <w:rPr>
          <w:rFonts w:hint="eastAsia" w:ascii="方正楷体_GBK" w:hAnsi="方正楷体_GBK" w:eastAsia="方正楷体_GBK" w:cs="方正楷体_GBK"/>
          <w:sz w:val="32"/>
          <w:szCs w:val="32"/>
          <w:lang w:val="en-US" w:eastAsia="zh-CN"/>
        </w:rPr>
        <w:t>2.</w:t>
      </w:r>
      <w:r>
        <w:rPr>
          <w:rFonts w:hint="eastAsia" w:ascii="方正楷体_GBK" w:hAnsi="方正楷体_GBK" w:eastAsia="方正楷体_GBK" w:cs="方正楷体_GBK"/>
          <w:sz w:val="32"/>
          <w:szCs w:val="32"/>
        </w:rPr>
        <w:t>法定代表人身份证明书（格式）</w:t>
      </w:r>
    </w:p>
    <w:p w14:paraId="399C671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16A8739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w:t>
      </w:r>
      <w:r>
        <w:rPr>
          <w:rFonts w:hint="eastAsia" w:ascii="方正仿宋_GBK" w:hAnsi="方正仿宋_GBK" w:eastAsia="方正仿宋_GBK" w:cs="方正仿宋_GBK"/>
          <w:sz w:val="32"/>
          <w:szCs w:val="32"/>
          <w:u w:val="single"/>
        </w:rPr>
        <w:t xml:space="preserve">                                                </w:t>
      </w:r>
    </w:p>
    <w:p w14:paraId="25CA7EA6">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D3745E4">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val="en-US" w:eastAsia="zh-CN"/>
        </w:rPr>
        <w:t>人</w:t>
      </w:r>
      <w:r>
        <w:rPr>
          <w:rFonts w:hint="eastAsia" w:ascii="方正仿宋_GBK" w:hAnsi="方正仿宋_GBK" w:eastAsia="方正仿宋_GBK" w:cs="方正仿宋_GBK"/>
          <w:sz w:val="32"/>
          <w:szCs w:val="32"/>
        </w:rPr>
        <w:t>名称）：</w:t>
      </w:r>
    </w:p>
    <w:p w14:paraId="7EFD37E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（法定代表人姓名）在</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（供应商名称）任</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（职务名称）职务，是（供应商名称）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的法定代表人。</w:t>
      </w:r>
    </w:p>
    <w:p w14:paraId="2153FAF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7DD9A1A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特此证明。</w:t>
      </w:r>
    </w:p>
    <w:p w14:paraId="363E5A7A">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7E16C3E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A567D2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5B2422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14:paraId="10CEB98D">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687854E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14:paraId="5E60E6B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法定代表人电话：XXXXXXX      电子邮箱：XXXXXX@XXXXX（若授权他人办理并签署响应文件的可不填写）</w:t>
      </w:r>
    </w:p>
    <w:p w14:paraId="7021CCA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（附：法定代表人身份证正反面复印件）</w:t>
      </w:r>
    </w:p>
    <w:p w14:paraId="63A9904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7A877F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3497929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827143F">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8DF0A2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20B1AA7D">
      <w:pPr>
        <w:pageBreakBefore w:val="0"/>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3.</w:t>
      </w:r>
      <w:r>
        <w:rPr>
          <w:rFonts w:hint="eastAsia" w:ascii="方正楷体_GBK" w:hAnsi="方正楷体_GBK" w:eastAsia="方正楷体_GBK" w:cs="方正楷体_GBK"/>
          <w:sz w:val="32"/>
          <w:szCs w:val="32"/>
        </w:rPr>
        <w:t>法定代表人授权委托书（格式）</w:t>
      </w:r>
    </w:p>
    <w:p w14:paraId="522DF083">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3481818F">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项目名称：</w:t>
      </w:r>
      <w:r>
        <w:rPr>
          <w:rFonts w:hint="eastAsia" w:ascii="方正仿宋_GBK" w:hAnsi="方正仿宋_GBK" w:eastAsia="方正仿宋_GBK" w:cs="方正仿宋_GBK"/>
          <w:sz w:val="32"/>
          <w:szCs w:val="32"/>
          <w:u w:val="single"/>
        </w:rPr>
        <w:t xml:space="preserve">                                                </w:t>
      </w:r>
    </w:p>
    <w:p w14:paraId="71003CE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434A61B7">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val="en-US" w:eastAsia="zh-CN"/>
        </w:rPr>
        <w:t>人名称</w:t>
      </w:r>
      <w:r>
        <w:rPr>
          <w:rFonts w:hint="eastAsia" w:ascii="方正仿宋_GBK" w:hAnsi="方正仿宋_GBK" w:eastAsia="方正仿宋_GBK" w:cs="方正仿宋_GBK"/>
          <w:sz w:val="32"/>
          <w:szCs w:val="32"/>
        </w:rPr>
        <w:t>）：</w:t>
      </w:r>
    </w:p>
    <w:p w14:paraId="7A34D5F9">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（供应商法定代表人名称）是</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（供应商名称）的法定代表人，特授权</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（被授权人姓名及身份证代码）代表我单位全权办理上述项目的</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、签约等具体工作，并签署全部有关文件、协议及合同。</w:t>
      </w:r>
    </w:p>
    <w:p w14:paraId="271B2F15">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我单位对被授权人的签署负全部责任。</w:t>
      </w:r>
    </w:p>
    <w:p w14:paraId="519EFCBD">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在撤销授权的书面通知以前，本授权书一直有效。被授权人在授权书有效期内签署的所有文件不因授权的撤销而失效。</w:t>
      </w:r>
    </w:p>
    <w:p w14:paraId="79EF415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0C2776DD">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p>
    <w:p w14:paraId="1B9B13B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被授权人：                         供应商法定代表人：</w:t>
      </w:r>
    </w:p>
    <w:p w14:paraId="3209AD7A">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（签署或盖章）                       （签署或盖章）</w:t>
      </w:r>
    </w:p>
    <w:p w14:paraId="0263343A">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220EDB7C">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439A3E8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（附：被授权人身份证正反面复印件）       </w:t>
      </w:r>
    </w:p>
    <w:p w14:paraId="61A7590D">
      <w:pPr>
        <w:pageBreakBefore w:val="0"/>
        <w:tabs>
          <w:tab w:val="left" w:pos="6300"/>
        </w:tabs>
        <w:kinsoku/>
        <w:wordWrap/>
        <w:overflowPunct/>
        <w:topLinePunct w:val="0"/>
        <w:autoSpaceDE/>
        <w:autoSpaceDN/>
        <w:bidi w:val="0"/>
        <w:snapToGrid w:val="0"/>
        <w:spacing w:line="580" w:lineRule="exact"/>
        <w:ind w:right="480" w:firstLine="57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w:t>
      </w:r>
    </w:p>
    <w:p w14:paraId="75013814">
      <w:pPr>
        <w:pageBreakBefore w:val="0"/>
        <w:tabs>
          <w:tab w:val="left" w:pos="6300"/>
        </w:tabs>
        <w:kinsoku/>
        <w:wordWrap/>
        <w:overflowPunct/>
        <w:topLinePunct w:val="0"/>
        <w:autoSpaceDE/>
        <w:autoSpaceDN/>
        <w:bidi w:val="0"/>
        <w:snapToGrid w:val="0"/>
        <w:spacing w:line="580" w:lineRule="exact"/>
        <w:ind w:right="480" w:firstLine="57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月   日</w:t>
      </w:r>
    </w:p>
    <w:p w14:paraId="4DAB91FC">
      <w:pPr>
        <w:pageBreakBefore w:val="0"/>
        <w:tabs>
          <w:tab w:val="left" w:pos="6300"/>
        </w:tabs>
        <w:kinsoku/>
        <w:wordWrap/>
        <w:overflowPunct/>
        <w:topLinePunct w:val="0"/>
        <w:autoSpaceDE/>
        <w:autoSpaceDN/>
        <w:bidi w:val="0"/>
        <w:snapToGrid w:val="0"/>
        <w:spacing w:line="580" w:lineRule="exact"/>
        <w:ind w:right="480" w:firstLine="57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被授权人电话：XXXXXXX     电子邮箱：XXXXXX@XXXXX（若法定代表人办理并签署响应文件的可不填写）</w:t>
      </w:r>
    </w:p>
    <w:p w14:paraId="58BF2268">
      <w:pPr>
        <w:pageBreakBefore w:val="0"/>
        <w:tabs>
          <w:tab w:val="left" w:pos="6300"/>
        </w:tabs>
        <w:kinsoku/>
        <w:wordWrap/>
        <w:overflowPunct/>
        <w:topLinePunct w:val="0"/>
        <w:autoSpaceDE/>
        <w:autoSpaceDN/>
        <w:bidi w:val="0"/>
        <w:snapToGrid w:val="0"/>
        <w:spacing w:line="580" w:lineRule="exact"/>
        <w:ind w:right="480" w:firstLine="57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注：若为法定代表人办理并签署响应文件的，不提供此文件。</w:t>
      </w:r>
    </w:p>
    <w:p w14:paraId="725410E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column"/>
      </w:r>
      <w:r>
        <w:rPr>
          <w:rFonts w:hint="eastAsia" w:ascii="方正楷体_GBK" w:hAnsi="方正楷体_GBK" w:eastAsia="方正楷体_GBK" w:cs="方正楷体_GBK"/>
          <w:sz w:val="32"/>
          <w:szCs w:val="32"/>
          <w:lang w:val="en-US" w:eastAsia="zh-CN"/>
        </w:rPr>
        <w:t>4.</w:t>
      </w:r>
      <w:r>
        <w:rPr>
          <w:rFonts w:hint="eastAsia" w:ascii="方正楷体_GBK" w:hAnsi="方正楷体_GBK" w:eastAsia="方正楷体_GBK" w:cs="方正楷体_GBK"/>
          <w:sz w:val="32"/>
          <w:szCs w:val="32"/>
        </w:rPr>
        <w:t>基本资格条件承诺函</w:t>
      </w:r>
    </w:p>
    <w:p w14:paraId="2754E2B1">
      <w:pPr>
        <w:pageBreakBefore w:val="0"/>
        <w:tabs>
          <w:tab w:val="left" w:pos="6300"/>
        </w:tabs>
        <w:kinsoku/>
        <w:wordWrap/>
        <w:overflowPunct/>
        <w:topLinePunct w:val="0"/>
        <w:autoSpaceDE/>
        <w:autoSpaceDN/>
        <w:bidi w:val="0"/>
        <w:snapToGrid w:val="0"/>
        <w:spacing w:line="580" w:lineRule="exact"/>
        <w:ind w:firstLine="570"/>
        <w:jc w:val="center"/>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3D3640E1">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609853B1">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val="en-US" w:eastAsia="zh-CN"/>
        </w:rPr>
        <w:t>人</w:t>
      </w:r>
      <w:r>
        <w:rPr>
          <w:rFonts w:hint="eastAsia" w:ascii="方正仿宋_GBK" w:hAnsi="方正仿宋_GBK" w:eastAsia="方正仿宋_GBK" w:cs="方正仿宋_GBK"/>
          <w:sz w:val="32"/>
          <w:szCs w:val="32"/>
        </w:rPr>
        <w:t>名称）：</w:t>
      </w:r>
    </w:p>
    <w:p w14:paraId="47E9F66E">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（供应商名称）郑重承诺：</w:t>
      </w:r>
    </w:p>
    <w:p w14:paraId="70B2372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w:t>
      </w:r>
      <w:r>
        <w:rPr>
          <w:rFonts w:hint="eastAsia" w:ascii="方正仿宋_GBK" w:hAnsi="方正仿宋_GBK" w:eastAsia="方正仿宋_GBK" w:cs="方正仿宋_GBK"/>
          <w:sz w:val="32"/>
          <w:szCs w:val="32"/>
          <w:lang w:val="zh-CN"/>
        </w:rPr>
        <w:t>有依法缴纳税收和社会保障金的良好记录</w:t>
      </w:r>
      <w:r>
        <w:rPr>
          <w:rFonts w:hint="eastAsia" w:ascii="方正仿宋_GBK" w:hAnsi="方正仿宋_GBK" w:eastAsia="方正仿宋_GBK" w:cs="方正仿宋_GBK"/>
          <w:sz w:val="32"/>
          <w:szCs w:val="32"/>
        </w:rPr>
        <w:t>，参加本项目采购活动前三年内无重大违法活动记录。</w:t>
      </w:r>
    </w:p>
    <w:p w14:paraId="669D47E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2.我方未列入在信用中国网站（www.creditchina.gov.cn）“失信被执行人”、“重大税收违法案件当事人名单”中，也未列入中国政府采购网（www.ccgp.gov.cn）“政府采购严重违法失信行为记录名单”中。</w:t>
      </w:r>
    </w:p>
    <w:p w14:paraId="25106688">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3.我方在采购项目评审（评标）环节结束后，随时接受采购人、采购代理机构的检查验证，配合提供相关证明材料，证明符合《中华人民共和国政府采购法》规定的供应商基本资格条件。</w:t>
      </w:r>
    </w:p>
    <w:p w14:paraId="2657E8B3">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14:paraId="618B964B">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14:paraId="0F8E117B">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sz w:val="32"/>
          <w:szCs w:val="32"/>
        </w:rPr>
      </w:pPr>
    </w:p>
    <w:p w14:paraId="1D04978F">
      <w:pPr>
        <w:pageBreakBefore w:val="0"/>
        <w:tabs>
          <w:tab w:val="left" w:pos="6300"/>
        </w:tabs>
        <w:kinsoku/>
        <w:wordWrap/>
        <w:overflowPunct/>
        <w:topLinePunct w:val="0"/>
        <w:autoSpaceDE/>
        <w:autoSpaceDN/>
        <w:bidi w:val="0"/>
        <w:snapToGrid w:val="0"/>
        <w:spacing w:line="580" w:lineRule="exact"/>
        <w:ind w:right="424" w:firstLine="57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w:t>
      </w:r>
    </w:p>
    <w:p w14:paraId="6C40C8F7">
      <w:pPr>
        <w:pageBreakBefore w:val="0"/>
        <w:tabs>
          <w:tab w:val="left" w:pos="6300"/>
        </w:tabs>
        <w:kinsoku/>
        <w:wordWrap/>
        <w:overflowPunct/>
        <w:topLinePunct w:val="0"/>
        <w:autoSpaceDE/>
        <w:autoSpaceDN/>
        <w:bidi w:val="0"/>
        <w:snapToGrid w:val="0"/>
        <w:spacing w:line="580" w:lineRule="exact"/>
        <w:ind w:firstLine="6720" w:firstLineChars="2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月   日</w:t>
      </w:r>
    </w:p>
    <w:p w14:paraId="5F116172">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r>
        <w:rPr>
          <w:rFonts w:hint="eastAsia" w:ascii="方正楷体_GBK" w:hAnsi="方正楷体_GBK" w:eastAsia="方正楷体_GBK" w:cs="方正楷体_GBK"/>
          <w:sz w:val="32"/>
          <w:szCs w:val="32"/>
          <w:lang w:val="en-US" w:eastAsia="zh-CN"/>
        </w:rPr>
        <w:t>5.</w:t>
      </w:r>
      <w:r>
        <w:rPr>
          <w:rFonts w:hint="eastAsia" w:ascii="方正楷体_GBK" w:hAnsi="方正楷体_GBK" w:eastAsia="方正楷体_GBK" w:cs="方正楷体_GBK"/>
          <w:sz w:val="32"/>
          <w:szCs w:val="32"/>
        </w:rPr>
        <w:t>特定资格条件证明文件（如果有）</w:t>
      </w:r>
    </w:p>
    <w:p w14:paraId="5659F160">
      <w:pPr>
        <w:pStyle w:val="2"/>
        <w:pageBreakBefore w:val="0"/>
        <w:kinsoku/>
        <w:wordWrap/>
        <w:overflowPunct/>
        <w:topLinePunct w:val="0"/>
        <w:autoSpaceDE/>
        <w:autoSpaceDN/>
        <w:bidi w:val="0"/>
        <w:adjustRightInd w:val="0"/>
        <w:snapToGrid w:val="0"/>
        <w:spacing w:before="0" w:after="0" w:line="580" w:lineRule="exact"/>
        <w:ind w:firstLine="640" w:firstLineChars="200"/>
        <w:jc w:val="both"/>
        <w:textAlignment w:val="auto"/>
        <w:rPr>
          <w:rFonts w:hint="eastAsia" w:ascii="方正仿宋_GBK" w:hAnsi="方正仿宋_GBK" w:eastAsia="方正仿宋_GBK" w:cs="方正仿宋_GBK"/>
          <w:sz w:val="32"/>
          <w:szCs w:val="32"/>
        </w:rPr>
      </w:pPr>
      <w:bookmarkStart w:id="146" w:name="_Toc14422"/>
      <w:r>
        <w:rPr>
          <w:rFonts w:hint="eastAsia" w:ascii="方正仿宋_GBK" w:hAnsi="方正仿宋_GBK" w:eastAsia="方正仿宋_GBK" w:cs="方正仿宋_GBK"/>
          <w:b w:val="0"/>
          <w:sz w:val="32"/>
          <w:szCs w:val="32"/>
        </w:rPr>
        <w:br w:type="page"/>
      </w:r>
      <w:bookmarkStart w:id="147" w:name="_Toc12029"/>
      <w:bookmarkStart w:id="148" w:name="_Toc3994"/>
      <w:bookmarkStart w:id="149" w:name="_Toc20423"/>
      <w:bookmarkStart w:id="150" w:name="_Toc5287"/>
      <w:bookmarkStart w:id="151" w:name="_Toc6349"/>
      <w:bookmarkStart w:id="152" w:name="_Toc26249"/>
      <w:bookmarkStart w:id="153" w:name="_Toc19623"/>
      <w:bookmarkStart w:id="154" w:name="_Toc6831"/>
      <w:bookmarkStart w:id="155" w:name="_Toc15507"/>
      <w:bookmarkStart w:id="156" w:name="_Toc2044"/>
      <w:bookmarkStart w:id="157" w:name="_Toc3613"/>
      <w:bookmarkStart w:id="158" w:name="_Toc20386"/>
      <w:bookmarkStart w:id="159" w:name="_Toc4342"/>
      <w:bookmarkStart w:id="160" w:name="_Toc20899"/>
      <w:bookmarkStart w:id="161" w:name="_Toc16255"/>
      <w:bookmarkStart w:id="162" w:name="_Toc76462354"/>
      <w:bookmarkStart w:id="163" w:name="_Toc29174"/>
      <w:bookmarkStart w:id="164" w:name="_Toc7266"/>
      <w:bookmarkStart w:id="165" w:name="_Toc20080"/>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lang w:val="en-US" w:eastAsia="zh-CN"/>
        </w:rPr>
        <w:t>三</w:t>
      </w:r>
      <w:r>
        <w:rPr>
          <w:rFonts w:hint="eastAsia" w:ascii="方正黑体_GBK" w:hAnsi="方正黑体_GBK" w:eastAsia="方正黑体_GBK" w:cs="方正黑体_GBK"/>
          <w:b w:val="0"/>
          <w:bCs/>
          <w:sz w:val="32"/>
          <w:szCs w:val="32"/>
          <w:lang w:eastAsia="zh-CN"/>
        </w:rPr>
        <w:t>）</w:t>
      </w:r>
      <w:r>
        <w:rPr>
          <w:rFonts w:hint="eastAsia" w:ascii="方正黑体_GBK" w:hAnsi="方正黑体_GBK" w:eastAsia="方正黑体_GBK" w:cs="方正黑体_GBK"/>
          <w:b w:val="0"/>
          <w:bCs/>
          <w:sz w:val="32"/>
          <w:szCs w:val="32"/>
        </w:rPr>
        <w:t>其他资料</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04ED495">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楷体_GBK" w:cs="方正仿宋_GBK"/>
          <w:sz w:val="32"/>
          <w:szCs w:val="32"/>
          <w:lang w:eastAsia="zh-CN"/>
        </w:rPr>
      </w:pPr>
      <w:r>
        <w:rPr>
          <w:rFonts w:hint="eastAsia" w:ascii="方正楷体_GBK" w:hAnsi="方正楷体_GBK" w:eastAsia="方正楷体_GBK" w:cs="方正楷体_GBK"/>
          <w:sz w:val="32"/>
          <w:szCs w:val="32"/>
        </w:rPr>
        <w:t>其他与项目有关的资料</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格式自拟</w:t>
      </w:r>
      <w:r>
        <w:rPr>
          <w:rFonts w:hint="eastAsia" w:ascii="方正楷体_GBK" w:hAnsi="方正楷体_GBK" w:eastAsia="方正楷体_GBK" w:cs="方正楷体_GBK"/>
          <w:sz w:val="32"/>
          <w:szCs w:val="32"/>
          <w:lang w:eastAsia="zh-CN"/>
        </w:rPr>
        <w:t>）</w:t>
      </w:r>
    </w:p>
    <w:p w14:paraId="4838854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其他与项目有关的资料（自附）：供应商总体情况介绍、其他与本项目有关的资料等。</w:t>
      </w:r>
    </w:p>
    <w:p w14:paraId="794BB382">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rPr>
      </w:pPr>
    </w:p>
    <w:p w14:paraId="13CB08C3">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30C9784">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6F75A099">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072D4A09">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01DD6C10">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1E405AAB">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3AA3414">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249951BA">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391AAA05">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5CA4261F">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12EEA985">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8B1B203">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71037186">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2DA9FBAB">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6030848D">
      <w:pPr>
        <w:pageBreakBefore w:val="0"/>
        <w:kinsoku/>
        <w:wordWrap/>
        <w:overflowPunct/>
        <w:topLinePunct w:val="0"/>
        <w:autoSpaceDE/>
        <w:autoSpaceDN/>
        <w:bidi w:val="0"/>
        <w:spacing w:line="580" w:lineRule="exact"/>
        <w:jc w:val="both"/>
        <w:textAlignment w:val="auto"/>
        <w:rPr>
          <w:rFonts w:hint="eastAsia" w:ascii="方正仿宋_GBK" w:hAnsi="方正仿宋_GBK" w:eastAsia="方正仿宋_GBK" w:cs="方正仿宋_GBK"/>
          <w:sz w:val="32"/>
          <w:szCs w:val="32"/>
        </w:rPr>
      </w:pPr>
    </w:p>
    <w:p w14:paraId="74335329">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sz w:val="32"/>
          <w:szCs w:val="32"/>
        </w:rPr>
      </w:pPr>
    </w:p>
    <w:p w14:paraId="2EB4694B">
      <w:pPr>
        <w:pageBreakBefore w:val="0"/>
        <w:kinsoku/>
        <w:wordWrap/>
        <w:overflowPunct/>
        <w:topLinePunct w:val="0"/>
        <w:autoSpaceDE/>
        <w:autoSpaceDN/>
        <w:bidi w:val="0"/>
        <w:spacing w:line="580" w:lineRule="exact"/>
        <w:ind w:firstLine="640" w:firstLineChars="200"/>
        <w:jc w:val="center"/>
        <w:textAlignment w:val="auto"/>
        <w:outlineLvl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（结束）</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AB4F28B"/>
    <w:p w14:paraId="70E6BE59"/>
    <w:sectPr>
      <w:footerReference r:id="rId5"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F1F5">
    <w:pPr>
      <w:pStyle w:val="5"/>
      <w:jc w:val="center"/>
      <w:rPr>
        <w:rFonts w:ascii="宋体" w:hAnsi="宋体"/>
        <w:sz w:val="21"/>
        <w:szCs w:val="21"/>
      </w:rPr>
    </w:pPr>
    <w:r>
      <w:rPr>
        <w:rFonts w:ascii="宋体" w:hAnsi="宋体"/>
        <w:sz w:val="21"/>
        <w:szCs w:val="21"/>
      </w:rPr>
      <w:fldChar w:fldCharType="begin"/>
    </w:r>
    <w:r>
      <w:rPr>
        <w:rStyle w:val="10"/>
        <w:rFonts w:ascii="宋体" w:hAnsi="宋体"/>
        <w:sz w:val="21"/>
        <w:szCs w:val="21"/>
      </w:rPr>
      <w:instrText xml:space="preserve"> PAGE </w:instrText>
    </w:r>
    <w:r>
      <w:rPr>
        <w:rFonts w:ascii="宋体" w:hAnsi="宋体"/>
        <w:sz w:val="21"/>
        <w:szCs w:val="21"/>
      </w:rPr>
      <w:fldChar w:fldCharType="separate"/>
    </w:r>
    <w:r>
      <w:rPr>
        <w:rStyle w:val="10"/>
        <w:rFonts w:ascii="宋体" w:hAnsi="宋体"/>
        <w:sz w:val="21"/>
        <w:szCs w:val="21"/>
      </w:rPr>
      <w:t>- 3 -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C07D2">
    <w:pPr>
      <w:pStyle w:val="5"/>
      <w:jc w:val="center"/>
      <w:rPr>
        <w:rFonts w:ascii="宋体" w:hAnsi="宋体"/>
        <w:sz w:val="21"/>
        <w:szCs w:val="21"/>
      </w:rPr>
    </w:pPr>
    <w:r>
      <w:rPr>
        <w:rFonts w:ascii="宋体" w:hAnsi="宋体"/>
        <w:sz w:val="21"/>
        <w:szCs w:val="21"/>
      </w:rPr>
      <w:fldChar w:fldCharType="begin"/>
    </w:r>
    <w:r>
      <w:rPr>
        <w:rStyle w:val="10"/>
        <w:rFonts w:ascii="宋体" w:hAnsi="宋体"/>
        <w:sz w:val="21"/>
        <w:szCs w:val="21"/>
      </w:rPr>
      <w:instrText xml:space="preserve"> PAGE </w:instrText>
    </w:r>
    <w:r>
      <w:rPr>
        <w:rFonts w:ascii="宋体" w:hAnsi="宋体"/>
        <w:sz w:val="21"/>
        <w:szCs w:val="21"/>
      </w:rPr>
      <w:fldChar w:fldCharType="separate"/>
    </w:r>
    <w:r>
      <w:rPr>
        <w:rStyle w:val="10"/>
        <w:rFonts w:ascii="宋体" w:hAnsi="宋体"/>
        <w:sz w:val="21"/>
        <w:szCs w:val="21"/>
      </w:rPr>
      <w:t>- 3 -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BC19D">
    <w:pPr>
      <w:pStyle w:val="6"/>
      <w:jc w:val="both"/>
      <w:rPr>
        <w:rFonts w:ascii="方正仿宋_GBK" w:eastAsia="方正仿宋_GBK"/>
        <w:sz w:val="21"/>
        <w:szCs w:val="21"/>
      </w:rPr>
    </w:pPr>
    <w:r>
      <w:rPr>
        <w:rFonts w:hint="eastAsia" w:ascii="方正仿宋_GBK" w:eastAsia="方正仿宋_GBK"/>
        <w:sz w:val="21"/>
        <w:szCs w:val="24"/>
      </w:rPr>
      <w:t xml:space="preserve">  重庆</w:t>
    </w:r>
    <w:r>
      <w:rPr>
        <w:rFonts w:hint="eastAsia" w:ascii="方正仿宋_GBK" w:eastAsia="方正仿宋_GBK"/>
        <w:sz w:val="21"/>
        <w:szCs w:val="24"/>
        <w:lang w:eastAsia="zh-CN"/>
      </w:rPr>
      <w:t>市黔江中心医院</w:t>
    </w:r>
    <w:r>
      <w:rPr>
        <w:rFonts w:hint="eastAsia" w:ascii="方正仿宋_GBK" w:eastAsia="方正仿宋_GBK"/>
        <w:sz w:val="21"/>
        <w:szCs w:val="24"/>
        <w:lang w:val="en-US" w:eastAsia="zh-CN"/>
      </w:rPr>
      <w:t xml:space="preserve">               </w:t>
    </w:r>
    <w:r>
      <w:rPr>
        <w:rFonts w:hint="eastAsia" w:ascii="方正仿宋_GBK" w:eastAsia="方正仿宋_GBK"/>
        <w:sz w:val="21"/>
        <w:szCs w:val="21"/>
      </w:rPr>
      <w:t xml:space="preserve">                                        </w:t>
    </w:r>
    <w:r>
      <w:rPr>
        <w:rFonts w:hint="eastAsia" w:ascii="方正仿宋_GBK" w:eastAsia="方正仿宋_GBK"/>
        <w:sz w:val="21"/>
        <w:szCs w:val="21"/>
        <w:lang w:eastAsia="zh-CN"/>
      </w:rPr>
      <w:t>采购</w:t>
    </w:r>
    <w:r>
      <w:rPr>
        <w:rFonts w:hint="eastAsia" w:ascii="方正仿宋_GBK" w:eastAsia="方正仿宋_GBK"/>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C10F33"/>
    <w:multiLevelType w:val="singleLevel"/>
    <w:tmpl w:val="D9C10F3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hOWEwOGRmOGE5Njk5NjJjNTNjMzkzMDU0NjUxMWQifQ=="/>
  </w:docVars>
  <w:rsids>
    <w:rsidRoot w:val="44247D92"/>
    <w:rsid w:val="089927C5"/>
    <w:rsid w:val="21B57298"/>
    <w:rsid w:val="3F5012EB"/>
    <w:rsid w:val="44247D92"/>
    <w:rsid w:val="4872550D"/>
    <w:rsid w:val="54F37C3D"/>
    <w:rsid w:val="6FC90195"/>
    <w:rsid w:val="72ED2288"/>
    <w:rsid w:val="76BB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jc w:val="center"/>
      <w:outlineLvl w:val="0"/>
    </w:pPr>
    <w:rPr>
      <w:rFonts w:ascii="宋体" w:hAnsi="宋体"/>
      <w:b/>
      <w:sz w:val="36"/>
    </w:rPr>
  </w:style>
  <w:style w:type="paragraph" w:styleId="2">
    <w:name w:val="heading 2"/>
    <w:basedOn w:val="1"/>
    <w:next w:val="1"/>
    <w:qFormat/>
    <w:uiPriority w:val="0"/>
    <w:pPr>
      <w:keepNext/>
      <w:keepLines/>
      <w:spacing w:before="260" w:after="260" w:line="413" w:lineRule="auto"/>
      <w:jc w:val="center"/>
      <w:outlineLvl w:val="1"/>
    </w:pPr>
    <w:rPr>
      <w:rFonts w:ascii="Arial" w:hAnsi="Arial" w:eastAsia="黑体"/>
      <w:b/>
      <w:sz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toc 1"/>
    <w:basedOn w:val="1"/>
    <w:next w:val="1"/>
    <w:qFormat/>
    <w:uiPriority w:val="0"/>
    <w:pPr>
      <w:spacing w:line="360" w:lineRule="auto"/>
      <w:jc w:val="left"/>
    </w:pPr>
    <w:rPr>
      <w:b/>
      <w:sz w:val="24"/>
    </w:rPr>
  </w:style>
  <w:style w:type="character" w:styleId="10">
    <w:name w:val="page number"/>
    <w:qFormat/>
    <w:uiPriority w:val="0"/>
  </w:style>
  <w:style w:type="paragraph" w:customStyle="1" w:styleId="11">
    <w:name w:val="图例"/>
    <w:basedOn w:val="1"/>
    <w:qFormat/>
    <w:uiPriority w:val="0"/>
    <w:pPr>
      <w:spacing w:before="120" w:after="120" w:line="360" w:lineRule="auto"/>
      <w:jc w:val="center"/>
    </w:pPr>
    <w:rPr>
      <w:rFonts w:eastAsia="仿宋_GB2312"/>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33</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2026-08-18T00:14:00Z</dcterms:created>
  <dc:creator>Hedda</dc:creator>
  <cp:lastModifiedBy>陈珍华</cp:lastModifiedBy>
  <dcterms:modified xsi:type="dcterms:W3CDTF">2026-08-24T02:48:43Z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B6FE5ACF12934AA2BD61B4401C21E9B4_11</vt:lpwstr>
  </property>
  <property fmtid="{D5CDD505-2E9C-101B-9397-08002B2CF9AE}" pid="4" name="KSOTemplateDocerSaveRecord">
    <vt:lpwstr>eyJoZGlkIjoiZmEyMWJjZDJmYWRmMWIyMTdkYzNjMGZkOWNlODgzZjQiLCJ1c2VySWQiOiIxMTI4NDE2NjAyIn0=</vt:lpwstr>
  </property>
</Properties>
</file>